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23" w:rsidRPr="00121223" w:rsidRDefault="00121223" w:rsidP="00121223">
      <w:pPr>
        <w:widowControl/>
        <w:spacing w:line="560" w:lineRule="atLeast"/>
        <w:jc w:val="left"/>
        <w:rPr>
          <w:rFonts w:ascii="Times New Roman" w:eastAsia="宋体" w:hAnsi="Times New Roman" w:cs="Times New Roman"/>
          <w:color w:val="000000"/>
          <w:kern w:val="0"/>
          <w:sz w:val="32"/>
          <w:szCs w:val="32"/>
        </w:rPr>
      </w:pPr>
      <w:r w:rsidRPr="00121223">
        <w:rPr>
          <w:rFonts w:ascii="Times New Roman" w:eastAsia="宋体" w:hAnsi="Times New Roman" w:cs="Times New Roman"/>
          <w:color w:val="000000"/>
          <w:kern w:val="0"/>
          <w:sz w:val="32"/>
          <w:szCs w:val="32"/>
        </w:rPr>
        <w:t>附件</w:t>
      </w:r>
    </w:p>
    <w:p w:rsidR="00121223" w:rsidRPr="00121223" w:rsidRDefault="00121223" w:rsidP="00121223">
      <w:pPr>
        <w:widowControl/>
        <w:jc w:val="left"/>
        <w:rPr>
          <w:rFonts w:ascii="Times New Roman" w:eastAsia="宋体" w:hAnsi="Times New Roman" w:cs="Times New Roman"/>
          <w:color w:val="000000"/>
          <w:kern w:val="0"/>
          <w:sz w:val="32"/>
          <w:szCs w:val="32"/>
        </w:rPr>
      </w:pPr>
    </w:p>
    <w:p w:rsidR="00121223" w:rsidRPr="00121223" w:rsidRDefault="00121223" w:rsidP="00121223">
      <w:pPr>
        <w:widowControl/>
        <w:jc w:val="center"/>
        <w:rPr>
          <w:rFonts w:ascii="Times New Roman" w:eastAsia="宋体" w:hAnsi="Times New Roman" w:cs="Times New Roman"/>
          <w:color w:val="000000"/>
          <w:kern w:val="0"/>
          <w:sz w:val="32"/>
          <w:szCs w:val="32"/>
        </w:rPr>
      </w:pPr>
      <w:r w:rsidRPr="00121223">
        <w:rPr>
          <w:rFonts w:ascii="Times New Roman" w:eastAsia="宋体" w:hAnsi="Times New Roman" w:cs="Times New Roman"/>
          <w:color w:val="000000"/>
          <w:kern w:val="0"/>
          <w:sz w:val="44"/>
          <w:szCs w:val="44"/>
        </w:rPr>
        <w:t>评分指标体系与评分方法</w:t>
      </w:r>
    </w:p>
    <w:p w:rsidR="00121223" w:rsidRPr="00121223" w:rsidRDefault="00121223" w:rsidP="00121223">
      <w:pPr>
        <w:widowControl/>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color w:val="000000"/>
          <w:kern w:val="0"/>
          <w:sz w:val="32"/>
          <w:szCs w:val="32"/>
        </w:rPr>
        <w:t>一、评分指标体系</w:t>
      </w:r>
    </w:p>
    <w:p w:rsidR="00121223" w:rsidRPr="00121223" w:rsidRDefault="00121223" w:rsidP="00121223">
      <w:pPr>
        <w:widowControl/>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b/>
          <w:bCs/>
          <w:color w:val="000000"/>
          <w:kern w:val="0"/>
          <w:sz w:val="32"/>
          <w:szCs w:val="32"/>
        </w:rPr>
        <w:t>（一）评选开户银行。</w:t>
      </w:r>
      <w:r w:rsidRPr="00121223">
        <w:rPr>
          <w:rFonts w:ascii="Times New Roman" w:eastAsia="宋体" w:hAnsi="Times New Roman" w:cs="Times New Roman"/>
          <w:color w:val="000000"/>
          <w:kern w:val="0"/>
          <w:sz w:val="32"/>
          <w:szCs w:val="32"/>
        </w:rPr>
        <w:t>评分指标包括</w:t>
      </w:r>
      <w:r w:rsidRPr="00121223">
        <w:rPr>
          <w:rFonts w:ascii="Times New Roman" w:eastAsia="宋体" w:hAnsi="Times New Roman" w:cs="Times New Roman"/>
          <w:color w:val="000000"/>
          <w:kern w:val="0"/>
          <w:sz w:val="32"/>
          <w:szCs w:val="32"/>
        </w:rPr>
        <w:t>4</w:t>
      </w:r>
      <w:r w:rsidRPr="00121223">
        <w:rPr>
          <w:rFonts w:ascii="仿宋_GB2312" w:eastAsia="仿宋_GB2312" w:hAnsi="Times New Roman" w:cs="Times New Roman"/>
          <w:color w:val="000000"/>
          <w:kern w:val="0"/>
          <w:sz w:val="32"/>
          <w:szCs w:val="32"/>
        </w:rPr>
        <w:t>个方面，即经营状况、贡献程度、服务水平、利率水平四个维</w:t>
      </w:r>
      <w:proofErr w:type="gramStart"/>
      <w:r w:rsidRPr="00121223">
        <w:rPr>
          <w:rFonts w:ascii="仿宋_GB2312" w:eastAsia="仿宋_GB2312" w:hAnsi="Times New Roman" w:cs="Times New Roman"/>
          <w:color w:val="000000"/>
          <w:kern w:val="0"/>
          <w:sz w:val="32"/>
          <w:szCs w:val="32"/>
        </w:rPr>
        <w:t>度具体</w:t>
      </w:r>
      <w:proofErr w:type="gramEnd"/>
      <w:r w:rsidRPr="00121223">
        <w:rPr>
          <w:rFonts w:ascii="仿宋_GB2312" w:eastAsia="仿宋_GB2312" w:hAnsi="Times New Roman" w:cs="Times New Roman"/>
          <w:color w:val="000000"/>
          <w:kern w:val="0"/>
          <w:sz w:val="32"/>
          <w:szCs w:val="32"/>
        </w:rPr>
        <w:t>指标，权重分别为</w:t>
      </w:r>
      <w:r w:rsidRPr="00121223">
        <w:rPr>
          <w:rFonts w:ascii="Times New Roman" w:eastAsia="宋体" w:hAnsi="Times New Roman" w:cs="Times New Roman"/>
          <w:color w:val="000000"/>
          <w:kern w:val="0"/>
          <w:sz w:val="32"/>
          <w:szCs w:val="32"/>
        </w:rPr>
        <w:t>35%</w:t>
      </w:r>
      <w:r w:rsidRPr="00121223">
        <w:rPr>
          <w:rFonts w:ascii="仿宋_GB2312" w:eastAsia="仿宋_GB2312" w:hAnsi="Times New Roman" w:cs="Times New Roman"/>
          <w:color w:val="000000"/>
          <w:kern w:val="0"/>
          <w:sz w:val="32"/>
          <w:szCs w:val="32"/>
        </w:rPr>
        <w:t>、</w:t>
      </w:r>
      <w:r w:rsidRPr="00121223">
        <w:rPr>
          <w:rFonts w:ascii="Times New Roman" w:eastAsia="宋体" w:hAnsi="Times New Roman" w:cs="Times New Roman"/>
          <w:color w:val="000000"/>
          <w:kern w:val="0"/>
          <w:sz w:val="32"/>
          <w:szCs w:val="32"/>
        </w:rPr>
        <w:t>30%</w:t>
      </w:r>
      <w:r w:rsidRPr="00121223">
        <w:rPr>
          <w:rFonts w:ascii="仿宋_GB2312" w:eastAsia="仿宋_GB2312" w:hAnsi="Times New Roman" w:cs="Times New Roman"/>
          <w:color w:val="000000"/>
          <w:kern w:val="0"/>
          <w:sz w:val="32"/>
          <w:szCs w:val="32"/>
        </w:rPr>
        <w:t>、</w:t>
      </w:r>
      <w:r w:rsidRPr="00121223">
        <w:rPr>
          <w:rFonts w:ascii="Times New Roman" w:eastAsia="宋体" w:hAnsi="Times New Roman" w:cs="Times New Roman"/>
          <w:color w:val="000000"/>
          <w:kern w:val="0"/>
          <w:sz w:val="32"/>
          <w:szCs w:val="32"/>
        </w:rPr>
        <w:t>30%</w:t>
      </w:r>
      <w:r w:rsidRPr="00121223">
        <w:rPr>
          <w:rFonts w:ascii="仿宋_GB2312" w:eastAsia="仿宋_GB2312" w:hAnsi="Times New Roman" w:cs="Times New Roman"/>
          <w:color w:val="000000"/>
          <w:kern w:val="0"/>
          <w:sz w:val="32"/>
          <w:szCs w:val="32"/>
        </w:rPr>
        <w:t>、</w:t>
      </w:r>
      <w:r w:rsidRPr="00121223">
        <w:rPr>
          <w:rFonts w:ascii="Times New Roman" w:eastAsia="宋体" w:hAnsi="Times New Roman" w:cs="Times New Roman"/>
          <w:color w:val="000000"/>
          <w:kern w:val="0"/>
          <w:sz w:val="32"/>
          <w:szCs w:val="32"/>
        </w:rPr>
        <w:t>5%</w:t>
      </w:r>
      <w:r w:rsidRPr="00121223">
        <w:rPr>
          <w:rFonts w:ascii="仿宋_GB2312" w:eastAsia="仿宋_GB2312" w:hAnsi="Times New Roman" w:cs="Times New Roman"/>
          <w:color w:val="000000"/>
          <w:kern w:val="0"/>
          <w:sz w:val="32"/>
          <w:szCs w:val="32"/>
        </w:rPr>
        <w:t>（详见表</w:t>
      </w:r>
      <w:r w:rsidRPr="00121223">
        <w:rPr>
          <w:rFonts w:ascii="Times New Roman" w:eastAsia="宋体" w:hAnsi="Times New Roman" w:cs="Times New Roman"/>
          <w:color w:val="000000"/>
          <w:kern w:val="0"/>
          <w:sz w:val="32"/>
          <w:szCs w:val="32"/>
        </w:rPr>
        <w:t>1</w:t>
      </w:r>
      <w:r w:rsidRPr="00121223">
        <w:rPr>
          <w:rFonts w:ascii="仿宋_GB2312" w:eastAsia="仿宋_GB2312" w:hAnsi="Times New Roman" w:cs="Times New Roman"/>
          <w:color w:val="000000"/>
          <w:kern w:val="0"/>
          <w:sz w:val="32"/>
          <w:szCs w:val="32"/>
        </w:rPr>
        <w:t>）。</w:t>
      </w:r>
    </w:p>
    <w:p w:rsidR="00121223" w:rsidRPr="00121223" w:rsidRDefault="00121223" w:rsidP="00121223">
      <w:pPr>
        <w:widowControl/>
        <w:jc w:val="center"/>
        <w:rPr>
          <w:rFonts w:ascii="Times New Roman" w:eastAsia="宋体" w:hAnsi="Times New Roman" w:cs="Times New Roman"/>
          <w:b/>
          <w:bCs/>
          <w:color w:val="000000"/>
          <w:kern w:val="0"/>
          <w:sz w:val="30"/>
          <w:szCs w:val="30"/>
        </w:rPr>
      </w:pPr>
      <w:r w:rsidRPr="00121223">
        <w:rPr>
          <w:rFonts w:ascii="Times New Roman" w:eastAsia="宋体" w:hAnsi="Times New Roman" w:cs="Times New Roman"/>
          <w:b/>
          <w:bCs/>
          <w:color w:val="000000"/>
          <w:kern w:val="0"/>
          <w:sz w:val="30"/>
          <w:szCs w:val="30"/>
        </w:rPr>
        <w:t>表</w:t>
      </w:r>
      <w:r w:rsidRPr="00121223">
        <w:rPr>
          <w:rFonts w:ascii="Times New Roman" w:eastAsia="宋体" w:hAnsi="Times New Roman" w:cs="Times New Roman"/>
          <w:b/>
          <w:bCs/>
          <w:color w:val="000000"/>
          <w:kern w:val="0"/>
          <w:sz w:val="30"/>
          <w:szCs w:val="30"/>
        </w:rPr>
        <w:t xml:space="preserve">1 </w:t>
      </w:r>
      <w:r w:rsidRPr="00121223">
        <w:rPr>
          <w:rFonts w:ascii="仿宋_GB2312" w:eastAsia="仿宋_GB2312" w:hAnsi="Times New Roman" w:cs="Times New Roman"/>
          <w:b/>
          <w:bCs/>
          <w:color w:val="000000"/>
          <w:kern w:val="0"/>
          <w:sz w:val="30"/>
          <w:szCs w:val="30"/>
        </w:rPr>
        <w:t>开户银行评分指标</w:t>
      </w:r>
    </w:p>
    <w:tbl>
      <w:tblPr>
        <w:tblW w:w="0" w:type="auto"/>
        <w:tblLayout w:type="fixed"/>
        <w:tblLook w:val="04A0"/>
      </w:tblPr>
      <w:tblGrid>
        <w:gridCol w:w="1809"/>
        <w:gridCol w:w="1447"/>
        <w:gridCol w:w="3827"/>
        <w:gridCol w:w="1417"/>
      </w:tblGrid>
      <w:tr w:rsidR="00121223" w:rsidRPr="00121223" w:rsidTr="00121223">
        <w:trPr>
          <w:trHeight w:val="454"/>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b/>
                <w:bCs/>
                <w:kern w:val="0"/>
                <w:sz w:val="24"/>
                <w:szCs w:val="24"/>
              </w:rPr>
            </w:pPr>
            <w:r w:rsidRPr="00121223">
              <w:rPr>
                <w:rFonts w:ascii="Times New Roman" w:eastAsia="宋体" w:hAnsi="Times New Roman" w:cs="Times New Roman"/>
                <w:b/>
                <w:bCs/>
                <w:color w:val="000000"/>
                <w:kern w:val="0"/>
                <w:sz w:val="22"/>
              </w:rPr>
              <w:t>指标类别</w:t>
            </w:r>
          </w:p>
        </w:tc>
        <w:tc>
          <w:tcPr>
            <w:tcW w:w="144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b/>
                <w:bCs/>
                <w:kern w:val="0"/>
                <w:sz w:val="24"/>
                <w:szCs w:val="24"/>
              </w:rPr>
            </w:pPr>
            <w:r w:rsidRPr="00121223">
              <w:rPr>
                <w:rFonts w:ascii="Times New Roman" w:eastAsia="宋体" w:hAnsi="Times New Roman" w:cs="Times New Roman"/>
                <w:b/>
                <w:bCs/>
                <w:color w:val="000000"/>
                <w:kern w:val="0"/>
                <w:sz w:val="22"/>
              </w:rPr>
              <w:t>权重</w:t>
            </w:r>
          </w:p>
        </w:tc>
        <w:tc>
          <w:tcPr>
            <w:tcW w:w="382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b/>
                <w:bCs/>
                <w:kern w:val="0"/>
                <w:sz w:val="24"/>
                <w:szCs w:val="24"/>
              </w:rPr>
            </w:pPr>
            <w:r w:rsidRPr="00121223">
              <w:rPr>
                <w:rFonts w:ascii="Times New Roman" w:eastAsia="宋体" w:hAnsi="Times New Roman" w:cs="Times New Roman"/>
                <w:b/>
                <w:bCs/>
                <w:color w:val="000000"/>
                <w:kern w:val="0"/>
                <w:sz w:val="22"/>
              </w:rPr>
              <w:t>分项指标</w:t>
            </w:r>
          </w:p>
        </w:tc>
        <w:tc>
          <w:tcPr>
            <w:tcW w:w="141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b/>
                <w:bCs/>
                <w:kern w:val="0"/>
                <w:sz w:val="24"/>
                <w:szCs w:val="24"/>
              </w:rPr>
            </w:pPr>
            <w:r w:rsidRPr="00121223">
              <w:rPr>
                <w:rFonts w:ascii="Times New Roman" w:eastAsia="宋体" w:hAnsi="Times New Roman" w:cs="Times New Roman"/>
                <w:b/>
                <w:bCs/>
                <w:color w:val="000000"/>
                <w:kern w:val="0"/>
                <w:sz w:val="22"/>
              </w:rPr>
              <w:t>分项权重</w:t>
            </w:r>
          </w:p>
        </w:tc>
      </w:tr>
      <w:tr w:rsidR="00121223" w:rsidRPr="00121223" w:rsidTr="00121223">
        <w:trPr>
          <w:trHeight w:val="408"/>
        </w:trPr>
        <w:tc>
          <w:tcPr>
            <w:tcW w:w="1809" w:type="dxa"/>
            <w:vMerge w:val="restart"/>
            <w:tcBorders>
              <w:top w:val="nil"/>
              <w:left w:val="single" w:sz="4" w:space="0" w:color="000000"/>
              <w:bottom w:val="single" w:sz="6"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经营状况</w:t>
            </w:r>
          </w:p>
        </w:tc>
        <w:tc>
          <w:tcPr>
            <w:tcW w:w="1447" w:type="dxa"/>
            <w:vMerge w:val="restart"/>
            <w:tcBorders>
              <w:top w:val="nil"/>
              <w:left w:val="nil"/>
              <w:bottom w:val="single" w:sz="6"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35%</w:t>
            </w:r>
          </w:p>
        </w:tc>
        <w:tc>
          <w:tcPr>
            <w:tcW w:w="382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净资产总额</w:t>
            </w:r>
          </w:p>
        </w:tc>
        <w:tc>
          <w:tcPr>
            <w:tcW w:w="141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7%</w:t>
            </w:r>
          </w:p>
        </w:tc>
      </w:tr>
      <w:tr w:rsidR="00121223" w:rsidRPr="00121223" w:rsidTr="00121223">
        <w:trPr>
          <w:trHeight w:val="408"/>
        </w:trPr>
        <w:tc>
          <w:tcPr>
            <w:tcW w:w="1809" w:type="dxa"/>
            <w:vMerge/>
            <w:tcBorders>
              <w:top w:val="nil"/>
              <w:left w:val="single" w:sz="4" w:space="0" w:color="000000"/>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p>
        </w:tc>
        <w:tc>
          <w:tcPr>
            <w:tcW w:w="1447" w:type="dxa"/>
            <w:vMerge/>
            <w:tcBorders>
              <w:top w:val="nil"/>
              <w:left w:val="nil"/>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资本充足率</w:t>
            </w:r>
          </w:p>
        </w:tc>
        <w:tc>
          <w:tcPr>
            <w:tcW w:w="1417" w:type="dxa"/>
            <w:tcBorders>
              <w:top w:val="single" w:sz="6" w:space="0" w:color="000000"/>
              <w:left w:val="nil"/>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7%</w:t>
            </w:r>
          </w:p>
        </w:tc>
      </w:tr>
      <w:tr w:rsidR="00121223" w:rsidRPr="00121223" w:rsidTr="00121223">
        <w:trPr>
          <w:trHeight w:val="408"/>
        </w:trPr>
        <w:tc>
          <w:tcPr>
            <w:tcW w:w="1809" w:type="dxa"/>
            <w:vMerge/>
            <w:tcBorders>
              <w:top w:val="nil"/>
              <w:left w:val="single" w:sz="4" w:space="0" w:color="000000"/>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p>
        </w:tc>
        <w:tc>
          <w:tcPr>
            <w:tcW w:w="1447" w:type="dxa"/>
            <w:vMerge/>
            <w:tcBorders>
              <w:top w:val="nil"/>
              <w:left w:val="nil"/>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不良贷款率</w:t>
            </w:r>
          </w:p>
        </w:tc>
        <w:tc>
          <w:tcPr>
            <w:tcW w:w="1417" w:type="dxa"/>
            <w:tcBorders>
              <w:top w:val="single" w:sz="6" w:space="0" w:color="000000"/>
              <w:left w:val="nil"/>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7%</w:t>
            </w:r>
          </w:p>
        </w:tc>
      </w:tr>
      <w:tr w:rsidR="00121223" w:rsidRPr="00121223" w:rsidTr="00121223">
        <w:trPr>
          <w:trHeight w:val="408"/>
        </w:trPr>
        <w:tc>
          <w:tcPr>
            <w:tcW w:w="1809" w:type="dxa"/>
            <w:vMerge/>
            <w:tcBorders>
              <w:top w:val="nil"/>
              <w:left w:val="single" w:sz="4" w:space="0" w:color="000000"/>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p>
        </w:tc>
        <w:tc>
          <w:tcPr>
            <w:tcW w:w="1447" w:type="dxa"/>
            <w:vMerge/>
            <w:tcBorders>
              <w:top w:val="nil"/>
              <w:left w:val="nil"/>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资产利润率</w:t>
            </w:r>
          </w:p>
        </w:tc>
        <w:tc>
          <w:tcPr>
            <w:tcW w:w="1417" w:type="dxa"/>
            <w:tcBorders>
              <w:top w:val="single" w:sz="6" w:space="0" w:color="000000"/>
              <w:left w:val="nil"/>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7%</w:t>
            </w:r>
          </w:p>
        </w:tc>
      </w:tr>
      <w:tr w:rsidR="00121223" w:rsidRPr="00121223" w:rsidTr="00121223">
        <w:trPr>
          <w:trHeight w:val="408"/>
        </w:trPr>
        <w:tc>
          <w:tcPr>
            <w:tcW w:w="1809" w:type="dxa"/>
            <w:vMerge/>
            <w:tcBorders>
              <w:top w:val="nil"/>
              <w:left w:val="single" w:sz="4" w:space="0" w:color="000000"/>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p>
        </w:tc>
        <w:tc>
          <w:tcPr>
            <w:tcW w:w="1447" w:type="dxa"/>
            <w:vMerge/>
            <w:tcBorders>
              <w:top w:val="nil"/>
              <w:left w:val="nil"/>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流动性比例</w:t>
            </w:r>
          </w:p>
        </w:tc>
        <w:tc>
          <w:tcPr>
            <w:tcW w:w="1417" w:type="dxa"/>
            <w:tcBorders>
              <w:top w:val="single" w:sz="6" w:space="0" w:color="000000"/>
              <w:left w:val="nil"/>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7%</w:t>
            </w:r>
          </w:p>
        </w:tc>
      </w:tr>
      <w:tr w:rsidR="00121223" w:rsidRPr="00121223" w:rsidTr="00121223">
        <w:trPr>
          <w:trHeight w:val="1853"/>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贡献程度</w:t>
            </w:r>
          </w:p>
        </w:tc>
        <w:tc>
          <w:tcPr>
            <w:tcW w:w="144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30%</w:t>
            </w:r>
          </w:p>
        </w:tc>
        <w:tc>
          <w:tcPr>
            <w:tcW w:w="382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可设置按国民经济行业分类中涉及内蒙古建设</w:t>
            </w:r>
            <w:r w:rsidRPr="00121223">
              <w:rPr>
                <w:rFonts w:ascii="Times New Roman" w:eastAsia="宋体" w:hAnsi="Times New Roman" w:cs="Times New Roman"/>
                <w:color w:val="000000"/>
                <w:kern w:val="0"/>
                <w:sz w:val="22"/>
              </w:rPr>
              <w:t>“</w:t>
            </w:r>
            <w:r w:rsidRPr="00121223">
              <w:rPr>
                <w:rFonts w:ascii="仿宋_GB2312" w:eastAsia="仿宋_GB2312" w:hAnsi="Times New Roman" w:cs="Times New Roman"/>
                <w:color w:val="000000"/>
                <w:kern w:val="0"/>
                <w:sz w:val="22"/>
              </w:rPr>
              <w:t>五大任务</w:t>
            </w:r>
            <w:r w:rsidRPr="00121223">
              <w:rPr>
                <w:rFonts w:ascii="Times New Roman" w:eastAsia="宋体" w:hAnsi="Times New Roman" w:cs="Times New Roman"/>
                <w:color w:val="000000"/>
                <w:kern w:val="0"/>
                <w:sz w:val="22"/>
              </w:rPr>
              <w:t>”</w:t>
            </w:r>
            <w:r w:rsidRPr="00121223">
              <w:rPr>
                <w:rFonts w:ascii="仿宋_GB2312" w:eastAsia="仿宋_GB2312" w:hAnsi="Times New Roman" w:cs="Times New Roman"/>
                <w:color w:val="000000"/>
                <w:kern w:val="0"/>
                <w:sz w:val="22"/>
              </w:rPr>
              <w:t>相关贷款数据、参与银行对本地区小微企业、乡村振兴领域贷款及支持内蒙古自治区高质量发展贡献度等分项指标</w:t>
            </w:r>
          </w:p>
        </w:tc>
        <w:tc>
          <w:tcPr>
            <w:tcW w:w="141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30%</w:t>
            </w:r>
          </w:p>
        </w:tc>
      </w:tr>
      <w:tr w:rsidR="00121223" w:rsidRPr="00121223" w:rsidTr="00121223">
        <w:trPr>
          <w:trHeight w:val="1454"/>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服务水平</w:t>
            </w:r>
          </w:p>
        </w:tc>
        <w:tc>
          <w:tcPr>
            <w:tcW w:w="144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30%</w:t>
            </w:r>
          </w:p>
        </w:tc>
        <w:tc>
          <w:tcPr>
            <w:tcW w:w="382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由资金存放主体根据实际情况和管理要求设置分项指标和分项权重（如设置资金存放银行提供支付结算、对账、分账核算等功能服务等分项指标）</w:t>
            </w:r>
          </w:p>
        </w:tc>
        <w:tc>
          <w:tcPr>
            <w:tcW w:w="141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30%</w:t>
            </w:r>
          </w:p>
        </w:tc>
      </w:tr>
      <w:tr w:rsidR="00121223" w:rsidRPr="00121223" w:rsidTr="00121223">
        <w:trPr>
          <w:trHeight w:val="837"/>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利率水平</w:t>
            </w:r>
          </w:p>
        </w:tc>
        <w:tc>
          <w:tcPr>
            <w:tcW w:w="144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5%</w:t>
            </w:r>
          </w:p>
        </w:tc>
        <w:tc>
          <w:tcPr>
            <w:tcW w:w="382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承诺活期存款利率、在开户银行定期存款利率等</w:t>
            </w:r>
            <w:r w:rsidRPr="00121223">
              <w:rPr>
                <w:rFonts w:ascii="Times New Roman" w:eastAsia="宋体" w:hAnsi="Times New Roman" w:cs="Times New Roman"/>
                <w:color w:val="000000"/>
                <w:kern w:val="0"/>
                <w:sz w:val="22"/>
              </w:rPr>
              <w:t xml:space="preserve"> </w:t>
            </w:r>
          </w:p>
        </w:tc>
        <w:tc>
          <w:tcPr>
            <w:tcW w:w="141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4"/>
                <w:szCs w:val="24"/>
              </w:rPr>
            </w:pPr>
            <w:r w:rsidRPr="00121223">
              <w:rPr>
                <w:rFonts w:ascii="Times New Roman" w:eastAsia="宋体" w:hAnsi="Times New Roman" w:cs="Times New Roman"/>
                <w:color w:val="000000"/>
                <w:kern w:val="0"/>
                <w:sz w:val="22"/>
              </w:rPr>
              <w:t>5%</w:t>
            </w:r>
          </w:p>
        </w:tc>
      </w:tr>
    </w:tbl>
    <w:p w:rsidR="00121223" w:rsidRPr="00121223" w:rsidRDefault="00121223" w:rsidP="00121223">
      <w:pPr>
        <w:widowControl/>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b/>
          <w:bCs/>
          <w:color w:val="000000"/>
          <w:kern w:val="0"/>
          <w:sz w:val="32"/>
          <w:szCs w:val="32"/>
        </w:rPr>
        <w:t>（二）评选定期存款银行。</w:t>
      </w:r>
      <w:r w:rsidRPr="00121223">
        <w:rPr>
          <w:rFonts w:ascii="Times New Roman" w:eastAsia="宋体" w:hAnsi="Times New Roman" w:cs="Times New Roman"/>
          <w:color w:val="000000"/>
          <w:kern w:val="0"/>
          <w:sz w:val="32"/>
          <w:szCs w:val="32"/>
        </w:rPr>
        <w:t>评分指标包括</w:t>
      </w:r>
      <w:r w:rsidRPr="00121223">
        <w:rPr>
          <w:rFonts w:ascii="Times New Roman" w:eastAsia="宋体" w:hAnsi="Times New Roman" w:cs="Times New Roman"/>
          <w:color w:val="000000"/>
          <w:kern w:val="0"/>
          <w:sz w:val="32"/>
          <w:szCs w:val="32"/>
        </w:rPr>
        <w:t>4</w:t>
      </w:r>
      <w:r w:rsidRPr="00121223">
        <w:rPr>
          <w:rFonts w:ascii="仿宋_GB2312" w:eastAsia="仿宋_GB2312" w:hAnsi="Times New Roman" w:cs="Times New Roman"/>
          <w:color w:val="000000"/>
          <w:kern w:val="0"/>
          <w:sz w:val="32"/>
          <w:szCs w:val="32"/>
        </w:rPr>
        <w:t>个方面：经营状况、贡献程度、服务水平、利率水平，权重分别为</w:t>
      </w:r>
      <w:r w:rsidRPr="00121223">
        <w:rPr>
          <w:rFonts w:ascii="Times New Roman" w:eastAsia="宋体" w:hAnsi="Times New Roman" w:cs="Times New Roman"/>
          <w:color w:val="000000"/>
          <w:kern w:val="0"/>
          <w:sz w:val="32"/>
          <w:szCs w:val="32"/>
        </w:rPr>
        <w:t>35%</w:t>
      </w:r>
      <w:r w:rsidRPr="00121223">
        <w:rPr>
          <w:rFonts w:ascii="仿宋_GB2312" w:eastAsia="仿宋_GB2312" w:hAnsi="Times New Roman" w:cs="Times New Roman"/>
          <w:color w:val="000000"/>
          <w:kern w:val="0"/>
          <w:sz w:val="32"/>
          <w:szCs w:val="32"/>
        </w:rPr>
        <w:t>、</w:t>
      </w:r>
      <w:r w:rsidRPr="00121223">
        <w:rPr>
          <w:rFonts w:ascii="Times New Roman" w:eastAsia="宋体" w:hAnsi="Times New Roman" w:cs="Times New Roman"/>
          <w:color w:val="000000"/>
          <w:kern w:val="0"/>
          <w:sz w:val="32"/>
          <w:szCs w:val="32"/>
        </w:rPr>
        <w:t>25%</w:t>
      </w:r>
      <w:r w:rsidRPr="00121223">
        <w:rPr>
          <w:rFonts w:ascii="仿宋_GB2312" w:eastAsia="仿宋_GB2312" w:hAnsi="Times New Roman" w:cs="Times New Roman"/>
          <w:color w:val="000000"/>
          <w:kern w:val="0"/>
          <w:sz w:val="32"/>
          <w:szCs w:val="32"/>
        </w:rPr>
        <w:t>、</w:t>
      </w:r>
      <w:r w:rsidRPr="00121223">
        <w:rPr>
          <w:rFonts w:ascii="Times New Roman" w:eastAsia="宋体" w:hAnsi="Times New Roman" w:cs="Times New Roman"/>
          <w:color w:val="000000"/>
          <w:kern w:val="0"/>
          <w:sz w:val="32"/>
          <w:szCs w:val="32"/>
        </w:rPr>
        <w:t>10%</w:t>
      </w:r>
      <w:r w:rsidRPr="00121223">
        <w:rPr>
          <w:rFonts w:ascii="仿宋_GB2312" w:eastAsia="仿宋_GB2312" w:hAnsi="Times New Roman" w:cs="Times New Roman"/>
          <w:color w:val="000000"/>
          <w:kern w:val="0"/>
          <w:sz w:val="32"/>
          <w:szCs w:val="32"/>
        </w:rPr>
        <w:t>、</w:t>
      </w:r>
      <w:r w:rsidRPr="00121223">
        <w:rPr>
          <w:rFonts w:ascii="Times New Roman" w:eastAsia="宋体" w:hAnsi="Times New Roman" w:cs="Times New Roman"/>
          <w:color w:val="000000"/>
          <w:kern w:val="0"/>
          <w:sz w:val="32"/>
          <w:szCs w:val="32"/>
        </w:rPr>
        <w:t>30%</w:t>
      </w:r>
      <w:r w:rsidRPr="00121223">
        <w:rPr>
          <w:rFonts w:ascii="仿宋_GB2312" w:eastAsia="仿宋_GB2312" w:hAnsi="Times New Roman" w:cs="Times New Roman"/>
          <w:color w:val="000000"/>
          <w:kern w:val="0"/>
          <w:sz w:val="32"/>
          <w:szCs w:val="32"/>
        </w:rPr>
        <w:t>（详见表</w:t>
      </w:r>
      <w:r w:rsidRPr="00121223">
        <w:rPr>
          <w:rFonts w:ascii="Times New Roman" w:eastAsia="宋体" w:hAnsi="Times New Roman" w:cs="Times New Roman"/>
          <w:color w:val="000000"/>
          <w:kern w:val="0"/>
          <w:sz w:val="32"/>
          <w:szCs w:val="32"/>
        </w:rPr>
        <w:t>2</w:t>
      </w:r>
      <w:r w:rsidRPr="00121223">
        <w:rPr>
          <w:rFonts w:ascii="仿宋_GB2312" w:eastAsia="仿宋_GB2312" w:hAnsi="Times New Roman" w:cs="Times New Roman"/>
          <w:color w:val="000000"/>
          <w:kern w:val="0"/>
          <w:sz w:val="32"/>
          <w:szCs w:val="32"/>
        </w:rPr>
        <w:t>）。</w:t>
      </w:r>
    </w:p>
    <w:p w:rsidR="00121223" w:rsidRPr="00121223" w:rsidRDefault="00121223" w:rsidP="00121223">
      <w:pPr>
        <w:widowControl/>
        <w:jc w:val="center"/>
        <w:rPr>
          <w:rFonts w:ascii="Times New Roman" w:eastAsia="宋体" w:hAnsi="Times New Roman" w:cs="Times New Roman"/>
          <w:b/>
          <w:bCs/>
          <w:kern w:val="0"/>
          <w:sz w:val="24"/>
          <w:szCs w:val="24"/>
        </w:rPr>
      </w:pPr>
      <w:r w:rsidRPr="00121223">
        <w:rPr>
          <w:rFonts w:ascii="Times New Roman" w:eastAsia="宋体" w:hAnsi="Times New Roman" w:cs="Times New Roman"/>
          <w:b/>
          <w:bCs/>
          <w:color w:val="000000"/>
          <w:kern w:val="0"/>
          <w:sz w:val="30"/>
          <w:szCs w:val="30"/>
        </w:rPr>
        <w:lastRenderedPageBreak/>
        <w:t>表</w:t>
      </w:r>
      <w:r w:rsidRPr="00121223">
        <w:rPr>
          <w:rFonts w:ascii="Times New Roman" w:eastAsia="宋体" w:hAnsi="Times New Roman" w:cs="Times New Roman"/>
          <w:b/>
          <w:bCs/>
          <w:color w:val="000000"/>
          <w:kern w:val="0"/>
          <w:sz w:val="30"/>
          <w:szCs w:val="30"/>
        </w:rPr>
        <w:t xml:space="preserve">2 </w:t>
      </w:r>
      <w:r w:rsidRPr="00121223">
        <w:rPr>
          <w:rFonts w:ascii="仿宋_GB2312" w:eastAsia="仿宋_GB2312" w:hAnsi="Times New Roman" w:cs="Times New Roman"/>
          <w:b/>
          <w:bCs/>
          <w:color w:val="000000"/>
          <w:kern w:val="0"/>
          <w:sz w:val="30"/>
          <w:szCs w:val="30"/>
        </w:rPr>
        <w:t>定期存款银行评分指标</w:t>
      </w:r>
    </w:p>
    <w:tbl>
      <w:tblPr>
        <w:tblW w:w="0" w:type="auto"/>
        <w:tblLayout w:type="fixed"/>
        <w:tblLook w:val="04A0"/>
      </w:tblPr>
      <w:tblGrid>
        <w:gridCol w:w="1809"/>
        <w:gridCol w:w="1447"/>
        <w:gridCol w:w="3827"/>
        <w:gridCol w:w="1751"/>
      </w:tblGrid>
      <w:tr w:rsidR="00121223" w:rsidRPr="00121223" w:rsidTr="00121223">
        <w:trPr>
          <w:trHeight w:val="454"/>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b/>
                <w:bCs/>
                <w:kern w:val="0"/>
                <w:sz w:val="22"/>
              </w:rPr>
            </w:pPr>
            <w:r w:rsidRPr="00121223">
              <w:rPr>
                <w:rFonts w:ascii="Times New Roman" w:eastAsia="宋体" w:hAnsi="Times New Roman" w:cs="Times New Roman"/>
                <w:b/>
                <w:bCs/>
                <w:color w:val="000000"/>
                <w:kern w:val="0"/>
                <w:sz w:val="22"/>
              </w:rPr>
              <w:t>指标类别</w:t>
            </w:r>
          </w:p>
        </w:tc>
        <w:tc>
          <w:tcPr>
            <w:tcW w:w="144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b/>
                <w:bCs/>
                <w:kern w:val="0"/>
                <w:sz w:val="22"/>
              </w:rPr>
            </w:pPr>
            <w:r w:rsidRPr="00121223">
              <w:rPr>
                <w:rFonts w:ascii="Times New Roman" w:eastAsia="宋体" w:hAnsi="Times New Roman" w:cs="Times New Roman"/>
                <w:b/>
                <w:bCs/>
                <w:color w:val="000000"/>
                <w:kern w:val="0"/>
                <w:sz w:val="22"/>
              </w:rPr>
              <w:t>权重</w:t>
            </w:r>
          </w:p>
        </w:tc>
        <w:tc>
          <w:tcPr>
            <w:tcW w:w="382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b/>
                <w:bCs/>
                <w:kern w:val="0"/>
                <w:sz w:val="22"/>
              </w:rPr>
            </w:pPr>
            <w:r w:rsidRPr="00121223">
              <w:rPr>
                <w:rFonts w:ascii="Times New Roman" w:eastAsia="宋体" w:hAnsi="Times New Roman" w:cs="Times New Roman"/>
                <w:b/>
                <w:bCs/>
                <w:color w:val="000000"/>
                <w:kern w:val="0"/>
                <w:sz w:val="22"/>
              </w:rPr>
              <w:t>分项指标</w:t>
            </w:r>
          </w:p>
        </w:tc>
        <w:tc>
          <w:tcPr>
            <w:tcW w:w="1751"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b/>
                <w:bCs/>
                <w:kern w:val="0"/>
                <w:sz w:val="22"/>
              </w:rPr>
            </w:pPr>
            <w:r w:rsidRPr="00121223">
              <w:rPr>
                <w:rFonts w:ascii="Times New Roman" w:eastAsia="宋体" w:hAnsi="Times New Roman" w:cs="Times New Roman"/>
                <w:b/>
                <w:bCs/>
                <w:color w:val="000000"/>
                <w:kern w:val="0"/>
                <w:sz w:val="22"/>
              </w:rPr>
              <w:t>分项权重</w:t>
            </w:r>
          </w:p>
        </w:tc>
      </w:tr>
      <w:tr w:rsidR="00121223" w:rsidRPr="00121223" w:rsidTr="00121223">
        <w:trPr>
          <w:trHeight w:val="408"/>
        </w:trPr>
        <w:tc>
          <w:tcPr>
            <w:tcW w:w="1809" w:type="dxa"/>
            <w:vMerge w:val="restart"/>
            <w:tcBorders>
              <w:top w:val="nil"/>
              <w:left w:val="single" w:sz="4" w:space="0" w:color="000000"/>
              <w:bottom w:val="single" w:sz="6"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经营状况</w:t>
            </w:r>
          </w:p>
        </w:tc>
        <w:tc>
          <w:tcPr>
            <w:tcW w:w="1447" w:type="dxa"/>
            <w:vMerge w:val="restart"/>
            <w:tcBorders>
              <w:top w:val="nil"/>
              <w:left w:val="nil"/>
              <w:bottom w:val="single" w:sz="6"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35%</w:t>
            </w:r>
          </w:p>
        </w:tc>
        <w:tc>
          <w:tcPr>
            <w:tcW w:w="382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净资产总额</w:t>
            </w:r>
          </w:p>
        </w:tc>
        <w:tc>
          <w:tcPr>
            <w:tcW w:w="1751"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7%</w:t>
            </w:r>
          </w:p>
        </w:tc>
      </w:tr>
      <w:tr w:rsidR="00121223" w:rsidRPr="00121223" w:rsidTr="00121223">
        <w:trPr>
          <w:trHeight w:val="408"/>
        </w:trPr>
        <w:tc>
          <w:tcPr>
            <w:tcW w:w="1809" w:type="dxa"/>
            <w:vMerge/>
            <w:tcBorders>
              <w:top w:val="nil"/>
              <w:left w:val="single" w:sz="4" w:space="0" w:color="000000"/>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p>
        </w:tc>
        <w:tc>
          <w:tcPr>
            <w:tcW w:w="1447" w:type="dxa"/>
            <w:vMerge/>
            <w:tcBorders>
              <w:top w:val="nil"/>
              <w:left w:val="nil"/>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资本充足率</w:t>
            </w:r>
          </w:p>
        </w:tc>
        <w:tc>
          <w:tcPr>
            <w:tcW w:w="1751" w:type="dxa"/>
            <w:tcBorders>
              <w:top w:val="single" w:sz="6" w:space="0" w:color="000000"/>
              <w:left w:val="nil"/>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7%</w:t>
            </w:r>
          </w:p>
        </w:tc>
      </w:tr>
      <w:tr w:rsidR="00121223" w:rsidRPr="00121223" w:rsidTr="00121223">
        <w:trPr>
          <w:trHeight w:val="408"/>
        </w:trPr>
        <w:tc>
          <w:tcPr>
            <w:tcW w:w="1809" w:type="dxa"/>
            <w:vMerge/>
            <w:tcBorders>
              <w:top w:val="nil"/>
              <w:left w:val="single" w:sz="4" w:space="0" w:color="000000"/>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p>
        </w:tc>
        <w:tc>
          <w:tcPr>
            <w:tcW w:w="1447" w:type="dxa"/>
            <w:vMerge/>
            <w:tcBorders>
              <w:top w:val="nil"/>
              <w:left w:val="nil"/>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不良贷款率</w:t>
            </w:r>
          </w:p>
        </w:tc>
        <w:tc>
          <w:tcPr>
            <w:tcW w:w="1751" w:type="dxa"/>
            <w:tcBorders>
              <w:top w:val="single" w:sz="6" w:space="0" w:color="000000"/>
              <w:left w:val="nil"/>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7%</w:t>
            </w:r>
          </w:p>
        </w:tc>
      </w:tr>
      <w:tr w:rsidR="00121223" w:rsidRPr="00121223" w:rsidTr="00121223">
        <w:trPr>
          <w:trHeight w:val="408"/>
        </w:trPr>
        <w:tc>
          <w:tcPr>
            <w:tcW w:w="1809" w:type="dxa"/>
            <w:vMerge/>
            <w:tcBorders>
              <w:top w:val="nil"/>
              <w:left w:val="single" w:sz="4" w:space="0" w:color="000000"/>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p>
        </w:tc>
        <w:tc>
          <w:tcPr>
            <w:tcW w:w="1447" w:type="dxa"/>
            <w:vMerge/>
            <w:tcBorders>
              <w:top w:val="nil"/>
              <w:left w:val="nil"/>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资产利润率</w:t>
            </w:r>
          </w:p>
        </w:tc>
        <w:tc>
          <w:tcPr>
            <w:tcW w:w="1751" w:type="dxa"/>
            <w:tcBorders>
              <w:top w:val="single" w:sz="6" w:space="0" w:color="000000"/>
              <w:left w:val="nil"/>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7%</w:t>
            </w:r>
          </w:p>
        </w:tc>
      </w:tr>
      <w:tr w:rsidR="00121223" w:rsidRPr="00121223" w:rsidTr="00121223">
        <w:trPr>
          <w:trHeight w:val="408"/>
        </w:trPr>
        <w:tc>
          <w:tcPr>
            <w:tcW w:w="1809" w:type="dxa"/>
            <w:vMerge/>
            <w:tcBorders>
              <w:top w:val="nil"/>
              <w:left w:val="single" w:sz="4" w:space="0" w:color="000000"/>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p>
        </w:tc>
        <w:tc>
          <w:tcPr>
            <w:tcW w:w="1447" w:type="dxa"/>
            <w:vMerge/>
            <w:tcBorders>
              <w:top w:val="nil"/>
              <w:left w:val="nil"/>
              <w:bottom w:val="single" w:sz="6"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流动性比例</w:t>
            </w:r>
          </w:p>
        </w:tc>
        <w:tc>
          <w:tcPr>
            <w:tcW w:w="1751" w:type="dxa"/>
            <w:tcBorders>
              <w:top w:val="single" w:sz="6" w:space="0" w:color="000000"/>
              <w:left w:val="nil"/>
              <w:bottom w:val="single" w:sz="6" w:space="0" w:color="000000"/>
              <w:right w:val="single" w:sz="6"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7%</w:t>
            </w:r>
          </w:p>
        </w:tc>
      </w:tr>
      <w:tr w:rsidR="00121223" w:rsidRPr="00121223" w:rsidTr="00121223">
        <w:trPr>
          <w:trHeight w:val="1903"/>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贡献程度</w:t>
            </w:r>
          </w:p>
        </w:tc>
        <w:tc>
          <w:tcPr>
            <w:tcW w:w="144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25%</w:t>
            </w:r>
          </w:p>
        </w:tc>
        <w:tc>
          <w:tcPr>
            <w:tcW w:w="382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可设置按国民经济行业分类中涉及内蒙古建设</w:t>
            </w:r>
            <w:r w:rsidRPr="00121223">
              <w:rPr>
                <w:rFonts w:ascii="Times New Roman" w:eastAsia="宋体" w:hAnsi="Times New Roman" w:cs="Times New Roman"/>
                <w:color w:val="000000"/>
                <w:kern w:val="0"/>
                <w:sz w:val="22"/>
              </w:rPr>
              <w:t>“</w:t>
            </w:r>
            <w:r w:rsidRPr="00121223">
              <w:rPr>
                <w:rFonts w:ascii="仿宋_GB2312" w:eastAsia="仿宋_GB2312" w:hAnsi="Times New Roman" w:cs="Times New Roman"/>
                <w:color w:val="000000"/>
                <w:kern w:val="0"/>
                <w:sz w:val="22"/>
              </w:rPr>
              <w:t>五大任务</w:t>
            </w:r>
            <w:r w:rsidRPr="00121223">
              <w:rPr>
                <w:rFonts w:ascii="Times New Roman" w:eastAsia="宋体" w:hAnsi="Times New Roman" w:cs="Times New Roman"/>
                <w:color w:val="000000"/>
                <w:kern w:val="0"/>
                <w:sz w:val="22"/>
              </w:rPr>
              <w:t>”</w:t>
            </w:r>
            <w:r w:rsidRPr="00121223">
              <w:rPr>
                <w:rFonts w:ascii="仿宋_GB2312" w:eastAsia="仿宋_GB2312" w:hAnsi="Times New Roman" w:cs="Times New Roman"/>
                <w:color w:val="000000"/>
                <w:kern w:val="0"/>
                <w:sz w:val="22"/>
              </w:rPr>
              <w:t>相关贷款数据、参与银行对本地区小微企业、乡村振兴领域贷款及支持内蒙古自治区高质量发展贡献度等分项指标</w:t>
            </w:r>
          </w:p>
        </w:tc>
        <w:tc>
          <w:tcPr>
            <w:tcW w:w="1751"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25%</w:t>
            </w:r>
          </w:p>
        </w:tc>
      </w:tr>
      <w:tr w:rsidR="00121223" w:rsidRPr="00121223" w:rsidTr="00121223">
        <w:trPr>
          <w:trHeight w:val="845"/>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服务水平</w:t>
            </w:r>
          </w:p>
        </w:tc>
        <w:tc>
          <w:tcPr>
            <w:tcW w:w="144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10%</w:t>
            </w:r>
          </w:p>
        </w:tc>
        <w:tc>
          <w:tcPr>
            <w:tcW w:w="382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由资金存放主体根据实际情况和管理要求设置分项指标和分项权重</w:t>
            </w:r>
          </w:p>
        </w:tc>
        <w:tc>
          <w:tcPr>
            <w:tcW w:w="1751"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10%</w:t>
            </w:r>
          </w:p>
        </w:tc>
      </w:tr>
      <w:tr w:rsidR="00121223" w:rsidRPr="00121223" w:rsidTr="00121223">
        <w:trPr>
          <w:trHeight w:val="517"/>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利率水平</w:t>
            </w:r>
          </w:p>
        </w:tc>
        <w:tc>
          <w:tcPr>
            <w:tcW w:w="144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30%</w:t>
            </w:r>
          </w:p>
        </w:tc>
        <w:tc>
          <w:tcPr>
            <w:tcW w:w="3827"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left"/>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承诺定期存款利率</w:t>
            </w:r>
          </w:p>
        </w:tc>
        <w:tc>
          <w:tcPr>
            <w:tcW w:w="1751" w:type="dxa"/>
            <w:tcBorders>
              <w:top w:val="single" w:sz="4" w:space="0" w:color="000000"/>
              <w:left w:val="nil"/>
              <w:bottom w:val="single" w:sz="4" w:space="0" w:color="000000"/>
              <w:right w:val="single" w:sz="4" w:space="0" w:color="000000"/>
            </w:tcBorders>
            <w:vAlign w:val="center"/>
            <w:hideMark/>
          </w:tcPr>
          <w:p w:rsidR="00121223" w:rsidRPr="00121223" w:rsidRDefault="00121223" w:rsidP="00121223">
            <w:pPr>
              <w:widowControl/>
              <w:jc w:val="center"/>
              <w:rPr>
                <w:rFonts w:ascii="Times New Roman" w:eastAsia="宋体" w:hAnsi="Times New Roman" w:cs="Times New Roman"/>
                <w:kern w:val="0"/>
                <w:sz w:val="22"/>
              </w:rPr>
            </w:pPr>
            <w:r w:rsidRPr="00121223">
              <w:rPr>
                <w:rFonts w:ascii="Times New Roman" w:eastAsia="宋体" w:hAnsi="Times New Roman" w:cs="Times New Roman"/>
                <w:color w:val="000000"/>
                <w:kern w:val="0"/>
                <w:sz w:val="22"/>
              </w:rPr>
              <w:t>30%</w:t>
            </w:r>
          </w:p>
        </w:tc>
      </w:tr>
    </w:tbl>
    <w:p w:rsidR="00121223" w:rsidRPr="00121223" w:rsidRDefault="00121223" w:rsidP="00121223">
      <w:pPr>
        <w:widowControl/>
        <w:spacing w:line="560" w:lineRule="atLeast"/>
        <w:ind w:firstLine="480"/>
        <w:rPr>
          <w:rFonts w:ascii="Times New Roman" w:eastAsia="宋体" w:hAnsi="Times New Roman" w:cs="Times New Roman"/>
          <w:kern w:val="0"/>
          <w:sz w:val="24"/>
          <w:szCs w:val="24"/>
        </w:rPr>
      </w:pP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color w:val="000000"/>
          <w:kern w:val="0"/>
          <w:sz w:val="32"/>
          <w:szCs w:val="32"/>
        </w:rPr>
        <w:t>二、评分方法</w:t>
      </w: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b/>
          <w:bCs/>
          <w:color w:val="000000"/>
          <w:kern w:val="0"/>
          <w:sz w:val="32"/>
          <w:szCs w:val="32"/>
        </w:rPr>
        <w:t>（一）经营状况和利率水平指标计分方法</w:t>
      </w: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color w:val="000000"/>
          <w:kern w:val="0"/>
          <w:sz w:val="32"/>
          <w:szCs w:val="32"/>
        </w:rPr>
        <w:t>经营状况</w:t>
      </w:r>
      <w:proofErr w:type="gramStart"/>
      <w:r w:rsidRPr="00121223">
        <w:rPr>
          <w:rFonts w:ascii="Times New Roman" w:eastAsia="宋体" w:hAnsi="Times New Roman" w:cs="Times New Roman"/>
          <w:color w:val="000000"/>
          <w:kern w:val="0"/>
          <w:sz w:val="32"/>
          <w:szCs w:val="32"/>
        </w:rPr>
        <w:t>类各项</w:t>
      </w:r>
      <w:proofErr w:type="gramEnd"/>
      <w:r w:rsidRPr="00121223">
        <w:rPr>
          <w:rFonts w:ascii="Times New Roman" w:eastAsia="宋体" w:hAnsi="Times New Roman" w:cs="Times New Roman"/>
          <w:color w:val="000000"/>
          <w:kern w:val="0"/>
          <w:sz w:val="32"/>
          <w:szCs w:val="32"/>
        </w:rPr>
        <w:t>指标根据银行全行业数据计算得出，银行已上市的，数据一般来源于已披露的最近一年的年度报告；银行未上市的，数据一般来源于最近一年经审计的年度报告。利率水平指标由参与竞争的银行分支机构在总行授权范围内提供。</w:t>
      </w: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color w:val="000000"/>
          <w:kern w:val="0"/>
          <w:sz w:val="32"/>
          <w:szCs w:val="32"/>
        </w:rPr>
        <w:t>净资产总额、资本充足率、资产利润率、流动性比例、利率水平得分的计算方法为：</w:t>
      </w:r>
    </w:p>
    <w:p w:rsidR="00121223" w:rsidRPr="00121223" w:rsidRDefault="00121223" w:rsidP="00121223">
      <w:pPr>
        <w:widowControl/>
        <w:ind w:firstLine="640"/>
        <w:rPr>
          <w:rFonts w:ascii="Times New Roman" w:eastAsia="宋体" w:hAnsi="Times New Roman" w:cs="Times New Roman"/>
          <w:color w:val="000000"/>
          <w:kern w:val="0"/>
          <w:sz w:val="28"/>
          <w:szCs w:val="28"/>
        </w:rPr>
      </w:pPr>
      <w:r w:rsidRPr="00121223">
        <w:rPr>
          <w:rFonts w:ascii="Times New Roman" w:eastAsia="宋体" w:hAnsi="Times New Roman" w:cs="Times New Roman"/>
          <w:color w:val="000000"/>
          <w:kern w:val="0"/>
          <w:sz w:val="32"/>
          <w:szCs w:val="32"/>
        </w:rPr>
        <w:lastRenderedPageBreak/>
        <w:t>单项指标得分＝</w:t>
      </w:r>
      <w:r w:rsidRPr="00121223">
        <w:rPr>
          <w:rFonts w:ascii="Times New Roman" w:eastAsia="宋体" w:hAnsi="Times New Roman" w:cs="Times New Roman"/>
          <w:color w:val="000000"/>
          <w:kern w:val="0"/>
          <w:sz w:val="32"/>
          <w:szCs w:val="32"/>
        </w:rPr>
        <w:t xml:space="preserve"> </w:t>
      </w:r>
      <w:r>
        <w:rPr>
          <w:rFonts w:ascii="Times New Roman" w:eastAsia="宋体" w:hAnsi="Times New Roman" w:cs="Times New Roman"/>
          <w:noProof/>
          <w:kern w:val="0"/>
          <w:szCs w:val="21"/>
        </w:rPr>
        <w:drawing>
          <wp:inline distT="0" distB="0" distL="0" distR="0">
            <wp:extent cx="2200275" cy="600075"/>
            <wp:effectExtent l="0" t="0" r="0" b="0"/>
            <wp:docPr id="1" name="图片 1" descr="C:\Users\ADMINI~1\AppData\Local\Temp\ksohtml\wps_clip_image-29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_clip_image-29657.png"/>
                    <pic:cNvPicPr>
                      <a:picLocks noChangeAspect="1" noChangeArrowheads="1"/>
                    </pic:cNvPicPr>
                  </pic:nvPicPr>
                  <pic:blipFill>
                    <a:blip r:embed="rId6"/>
                    <a:srcRect/>
                    <a:stretch>
                      <a:fillRect/>
                    </a:stretch>
                  </pic:blipFill>
                  <pic:spPr bwMode="auto">
                    <a:xfrm>
                      <a:off x="0" y="0"/>
                      <a:ext cx="2200275" cy="600075"/>
                    </a:xfrm>
                    <a:prstGeom prst="rect">
                      <a:avLst/>
                    </a:prstGeom>
                    <a:noFill/>
                    <a:ln w="9525">
                      <a:noFill/>
                      <a:miter lim="800000"/>
                      <a:headEnd/>
                      <a:tailEnd/>
                    </a:ln>
                  </pic:spPr>
                </pic:pic>
              </a:graphicData>
            </a:graphic>
          </wp:inline>
        </w:drawing>
      </w:r>
      <w:r>
        <w:rPr>
          <w:rFonts w:ascii="Times New Roman" w:eastAsia="宋体" w:hAnsi="Times New Roman" w:cs="Times New Roman"/>
          <w:noProof/>
          <w:kern w:val="0"/>
          <w:szCs w:val="21"/>
        </w:rPr>
        <w:drawing>
          <wp:inline distT="0" distB="0" distL="0" distR="0">
            <wp:extent cx="2200275" cy="600075"/>
            <wp:effectExtent l="19050" t="0" r="9525" b="0"/>
            <wp:docPr id="2" name="图片 2" descr="C:\Users\ADMINI~1\AppData\Local\Temp\ksohtml\wps_clip_image-3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_clip_image-3207.png"/>
                    <pic:cNvPicPr>
                      <a:picLocks noChangeAspect="1" noChangeArrowheads="1"/>
                    </pic:cNvPicPr>
                  </pic:nvPicPr>
                  <pic:blipFill>
                    <a:blip r:embed="rId7"/>
                    <a:srcRect/>
                    <a:stretch>
                      <a:fillRect/>
                    </a:stretch>
                  </pic:blipFill>
                  <pic:spPr bwMode="auto">
                    <a:xfrm>
                      <a:off x="0" y="0"/>
                      <a:ext cx="2200275" cy="600075"/>
                    </a:xfrm>
                    <a:prstGeom prst="rect">
                      <a:avLst/>
                    </a:prstGeom>
                    <a:noFill/>
                    <a:ln w="9525">
                      <a:noFill/>
                      <a:miter lim="800000"/>
                      <a:headEnd/>
                      <a:tailEnd/>
                    </a:ln>
                  </pic:spPr>
                </pic:pic>
              </a:graphicData>
            </a:graphic>
          </wp:inline>
        </w:drawing>
      </w:r>
      <w:r w:rsidRPr="00121223">
        <w:rPr>
          <w:rFonts w:ascii="Times New Roman" w:eastAsia="宋体" w:hAnsi="Times New Roman" w:cs="Times New Roman"/>
          <w:color w:val="000000"/>
          <w:kern w:val="0"/>
          <w:sz w:val="32"/>
          <w:szCs w:val="32"/>
        </w:rPr>
        <w:t xml:space="preserve"> ×100</w:t>
      </w: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color w:val="000000"/>
          <w:kern w:val="0"/>
          <w:sz w:val="32"/>
          <w:szCs w:val="32"/>
        </w:rPr>
        <w:t>不良贷款率得分计算方法为：</w:t>
      </w:r>
    </w:p>
    <w:p w:rsidR="00121223" w:rsidRPr="00121223" w:rsidRDefault="00121223" w:rsidP="00121223">
      <w:pPr>
        <w:widowControl/>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color w:val="000000"/>
          <w:kern w:val="0"/>
          <w:sz w:val="32"/>
          <w:szCs w:val="32"/>
        </w:rPr>
        <w:t>不良贷款率得分＝</w:t>
      </w:r>
      <w:r>
        <w:rPr>
          <w:rFonts w:ascii="Times New Roman" w:eastAsia="宋体" w:hAnsi="Times New Roman" w:cs="Times New Roman"/>
          <w:noProof/>
          <w:kern w:val="0"/>
          <w:szCs w:val="21"/>
        </w:rPr>
        <w:drawing>
          <wp:inline distT="0" distB="0" distL="0" distR="0">
            <wp:extent cx="2200275" cy="600075"/>
            <wp:effectExtent l="0" t="0" r="0" b="0"/>
            <wp:docPr id="3" name="图片 3" descr="C:\Users\ADMINI~1\AppData\Local\Temp\ksohtml\wps_clip_image-22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wps_clip_image-22318.png"/>
                    <pic:cNvPicPr>
                      <a:picLocks noChangeAspect="1" noChangeArrowheads="1"/>
                    </pic:cNvPicPr>
                  </pic:nvPicPr>
                  <pic:blipFill>
                    <a:blip r:embed="rId6"/>
                    <a:srcRect/>
                    <a:stretch>
                      <a:fillRect/>
                    </a:stretch>
                  </pic:blipFill>
                  <pic:spPr bwMode="auto">
                    <a:xfrm>
                      <a:off x="0" y="0"/>
                      <a:ext cx="2200275" cy="600075"/>
                    </a:xfrm>
                    <a:prstGeom prst="rect">
                      <a:avLst/>
                    </a:prstGeom>
                    <a:noFill/>
                    <a:ln w="9525">
                      <a:noFill/>
                      <a:miter lim="800000"/>
                      <a:headEnd/>
                      <a:tailEnd/>
                    </a:ln>
                  </pic:spPr>
                </pic:pic>
              </a:graphicData>
            </a:graphic>
          </wp:inline>
        </w:drawing>
      </w:r>
      <w:r>
        <w:rPr>
          <w:rFonts w:ascii="Times New Roman" w:eastAsia="宋体" w:hAnsi="Times New Roman" w:cs="Times New Roman"/>
          <w:noProof/>
          <w:kern w:val="0"/>
          <w:szCs w:val="21"/>
        </w:rPr>
        <w:drawing>
          <wp:inline distT="0" distB="0" distL="0" distR="0">
            <wp:extent cx="2200275" cy="600075"/>
            <wp:effectExtent l="19050" t="0" r="9525" b="0"/>
            <wp:docPr id="4" name="图片 4" descr="C:\Users\ADMINI~1\AppData\Local\Temp\ksohtml\wps_clip_image-2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wps_clip_image-2964.png"/>
                    <pic:cNvPicPr>
                      <a:picLocks noChangeAspect="1" noChangeArrowheads="1"/>
                    </pic:cNvPicPr>
                  </pic:nvPicPr>
                  <pic:blipFill>
                    <a:blip r:embed="rId8"/>
                    <a:srcRect/>
                    <a:stretch>
                      <a:fillRect/>
                    </a:stretch>
                  </pic:blipFill>
                  <pic:spPr bwMode="auto">
                    <a:xfrm>
                      <a:off x="0" y="0"/>
                      <a:ext cx="2200275" cy="600075"/>
                    </a:xfrm>
                    <a:prstGeom prst="rect">
                      <a:avLst/>
                    </a:prstGeom>
                    <a:noFill/>
                    <a:ln w="9525">
                      <a:noFill/>
                      <a:miter lim="800000"/>
                      <a:headEnd/>
                      <a:tailEnd/>
                    </a:ln>
                  </pic:spPr>
                </pic:pic>
              </a:graphicData>
            </a:graphic>
          </wp:inline>
        </w:drawing>
      </w:r>
      <w:r w:rsidRPr="00121223">
        <w:rPr>
          <w:rFonts w:ascii="Times New Roman" w:eastAsia="宋体" w:hAnsi="Times New Roman" w:cs="Times New Roman"/>
          <w:color w:val="000000"/>
          <w:kern w:val="0"/>
          <w:sz w:val="32"/>
          <w:szCs w:val="32"/>
        </w:rPr>
        <w:t>×100</w:t>
      </w: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b/>
          <w:bCs/>
          <w:color w:val="000000"/>
          <w:kern w:val="0"/>
          <w:sz w:val="32"/>
          <w:szCs w:val="32"/>
        </w:rPr>
        <w:t>（二）服务水平指标计分方法</w:t>
      </w: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color w:val="000000"/>
          <w:kern w:val="0"/>
          <w:sz w:val="32"/>
          <w:szCs w:val="32"/>
        </w:rPr>
        <w:t>服务水平的分项指标由资金存放主体根据实际情况和管理要求设置，可以为银行分支机构指标或全行指标，由评选人员根据具体分项指标情况采取计算方法或评审方法，采用百分制打分。</w:t>
      </w: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r w:rsidRPr="00121223">
        <w:rPr>
          <w:rFonts w:ascii="Times New Roman" w:eastAsia="宋体" w:hAnsi="Times New Roman" w:cs="Times New Roman"/>
          <w:b/>
          <w:bCs/>
          <w:color w:val="000000"/>
          <w:kern w:val="0"/>
          <w:sz w:val="32"/>
          <w:szCs w:val="32"/>
        </w:rPr>
        <w:t>（三）总分计算方法</w:t>
      </w: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proofErr w:type="gramStart"/>
      <w:r w:rsidRPr="00121223">
        <w:rPr>
          <w:rFonts w:ascii="Times New Roman" w:eastAsia="宋体" w:hAnsi="Times New Roman" w:cs="Times New Roman"/>
          <w:color w:val="000000"/>
          <w:kern w:val="0"/>
          <w:sz w:val="32"/>
          <w:szCs w:val="32"/>
        </w:rPr>
        <w:t>单个评选</w:t>
      </w:r>
      <w:proofErr w:type="gramEnd"/>
      <w:r w:rsidRPr="00121223">
        <w:rPr>
          <w:rFonts w:ascii="Times New Roman" w:eastAsia="宋体" w:hAnsi="Times New Roman" w:cs="Times New Roman"/>
          <w:color w:val="000000"/>
          <w:kern w:val="0"/>
          <w:sz w:val="32"/>
          <w:szCs w:val="32"/>
        </w:rPr>
        <w:t>人员对某个银行评分＝</w:t>
      </w:r>
      <w:r w:rsidRPr="00121223">
        <w:rPr>
          <w:rFonts w:ascii="Times New Roman" w:eastAsia="宋体" w:hAnsi="Times New Roman" w:cs="Times New Roman"/>
          <w:color w:val="000000"/>
          <w:kern w:val="0"/>
          <w:sz w:val="32"/>
          <w:szCs w:val="32"/>
        </w:rPr>
        <w:t>∑</w:t>
      </w:r>
      <w:r w:rsidRPr="00121223">
        <w:rPr>
          <w:rFonts w:ascii="仿宋_GB2312" w:eastAsia="仿宋_GB2312" w:hAnsi="Times New Roman" w:cs="Times New Roman"/>
          <w:color w:val="000000"/>
          <w:kern w:val="0"/>
          <w:sz w:val="32"/>
          <w:szCs w:val="32"/>
        </w:rPr>
        <w:t>经营状况中单项指标得分</w:t>
      </w:r>
      <w:r w:rsidRPr="00121223">
        <w:rPr>
          <w:rFonts w:ascii="Times New Roman" w:eastAsia="宋体" w:hAnsi="Times New Roman" w:cs="Times New Roman"/>
          <w:color w:val="000000"/>
          <w:kern w:val="0"/>
          <w:sz w:val="32"/>
          <w:szCs w:val="32"/>
        </w:rPr>
        <w:t>×</w:t>
      </w:r>
      <w:r w:rsidRPr="00121223">
        <w:rPr>
          <w:rFonts w:ascii="仿宋_GB2312" w:eastAsia="仿宋_GB2312" w:hAnsi="Times New Roman" w:cs="Times New Roman"/>
          <w:color w:val="000000"/>
          <w:kern w:val="0"/>
          <w:sz w:val="32"/>
          <w:szCs w:val="32"/>
        </w:rPr>
        <w:t>分项指标权重</w:t>
      </w:r>
      <w:r w:rsidRPr="00121223">
        <w:rPr>
          <w:rFonts w:ascii="Times New Roman" w:eastAsia="宋体" w:hAnsi="Times New Roman" w:cs="Times New Roman"/>
          <w:color w:val="000000"/>
          <w:kern w:val="0"/>
          <w:sz w:val="32"/>
          <w:szCs w:val="32"/>
        </w:rPr>
        <w:t>+∑</w:t>
      </w:r>
      <w:r w:rsidRPr="00121223">
        <w:rPr>
          <w:rFonts w:ascii="仿宋_GB2312" w:eastAsia="仿宋_GB2312" w:hAnsi="Times New Roman" w:cs="Times New Roman"/>
          <w:color w:val="000000"/>
          <w:kern w:val="0"/>
          <w:sz w:val="32"/>
          <w:szCs w:val="32"/>
        </w:rPr>
        <w:t>贡献度单项指标得分</w:t>
      </w:r>
      <w:r w:rsidRPr="00121223">
        <w:rPr>
          <w:rFonts w:ascii="Times New Roman" w:eastAsia="宋体" w:hAnsi="Times New Roman" w:cs="Times New Roman"/>
          <w:color w:val="000000"/>
          <w:kern w:val="0"/>
          <w:sz w:val="32"/>
          <w:szCs w:val="32"/>
        </w:rPr>
        <w:t>×</w:t>
      </w:r>
      <w:r w:rsidRPr="00121223">
        <w:rPr>
          <w:rFonts w:ascii="仿宋_GB2312" w:eastAsia="仿宋_GB2312" w:hAnsi="Times New Roman" w:cs="Times New Roman"/>
          <w:color w:val="000000"/>
          <w:kern w:val="0"/>
          <w:sz w:val="32"/>
          <w:szCs w:val="32"/>
        </w:rPr>
        <w:t>分项指标权重</w:t>
      </w:r>
      <w:r w:rsidRPr="00121223">
        <w:rPr>
          <w:rFonts w:ascii="Times New Roman" w:eastAsia="宋体" w:hAnsi="Times New Roman" w:cs="Times New Roman"/>
          <w:color w:val="000000"/>
          <w:kern w:val="0"/>
          <w:sz w:val="32"/>
          <w:szCs w:val="32"/>
        </w:rPr>
        <w:t>+∑</w:t>
      </w:r>
      <w:r w:rsidRPr="00121223">
        <w:rPr>
          <w:rFonts w:ascii="仿宋_GB2312" w:eastAsia="仿宋_GB2312" w:hAnsi="Times New Roman" w:cs="Times New Roman"/>
          <w:color w:val="000000"/>
          <w:kern w:val="0"/>
          <w:sz w:val="32"/>
          <w:szCs w:val="32"/>
        </w:rPr>
        <w:t>服务水平中单项指标得分</w:t>
      </w:r>
      <w:r w:rsidRPr="00121223">
        <w:rPr>
          <w:rFonts w:ascii="Times New Roman" w:eastAsia="宋体" w:hAnsi="Times New Roman" w:cs="Times New Roman"/>
          <w:color w:val="000000"/>
          <w:kern w:val="0"/>
          <w:sz w:val="32"/>
          <w:szCs w:val="32"/>
        </w:rPr>
        <w:t>×</w:t>
      </w:r>
      <w:r w:rsidRPr="00121223">
        <w:rPr>
          <w:rFonts w:ascii="仿宋_GB2312" w:eastAsia="仿宋_GB2312" w:hAnsi="Times New Roman" w:cs="Times New Roman"/>
          <w:color w:val="000000"/>
          <w:kern w:val="0"/>
          <w:sz w:val="32"/>
          <w:szCs w:val="32"/>
        </w:rPr>
        <w:t>分项指标权重</w:t>
      </w:r>
      <w:r w:rsidRPr="00121223">
        <w:rPr>
          <w:rFonts w:ascii="Times New Roman" w:eastAsia="宋体" w:hAnsi="Times New Roman" w:cs="Times New Roman"/>
          <w:color w:val="000000"/>
          <w:kern w:val="0"/>
          <w:sz w:val="32"/>
          <w:szCs w:val="32"/>
        </w:rPr>
        <w:t>+</w:t>
      </w:r>
      <w:r w:rsidRPr="00121223">
        <w:rPr>
          <w:rFonts w:ascii="仿宋_GB2312" w:eastAsia="仿宋_GB2312" w:hAnsi="Times New Roman" w:cs="Times New Roman"/>
          <w:color w:val="000000"/>
          <w:kern w:val="0"/>
          <w:sz w:val="32"/>
          <w:szCs w:val="32"/>
        </w:rPr>
        <w:t>利率水平指标得分</w:t>
      </w:r>
      <w:r w:rsidRPr="00121223">
        <w:rPr>
          <w:rFonts w:ascii="Times New Roman" w:eastAsia="宋体" w:hAnsi="Times New Roman" w:cs="Times New Roman"/>
          <w:color w:val="000000"/>
          <w:kern w:val="0"/>
          <w:sz w:val="32"/>
          <w:szCs w:val="32"/>
        </w:rPr>
        <w:t>×</w:t>
      </w:r>
      <w:r w:rsidRPr="00121223">
        <w:rPr>
          <w:rFonts w:ascii="仿宋_GB2312" w:eastAsia="仿宋_GB2312" w:hAnsi="Times New Roman" w:cs="Times New Roman"/>
          <w:color w:val="000000"/>
          <w:kern w:val="0"/>
          <w:sz w:val="32"/>
          <w:szCs w:val="32"/>
        </w:rPr>
        <w:t>本项指标权重。</w:t>
      </w:r>
    </w:p>
    <w:p w:rsidR="00121223" w:rsidRPr="00121223" w:rsidRDefault="00121223" w:rsidP="00121223">
      <w:pPr>
        <w:widowControl/>
        <w:spacing w:line="560" w:lineRule="atLeast"/>
        <w:ind w:firstLine="640"/>
        <w:rPr>
          <w:rFonts w:ascii="Times New Roman" w:eastAsia="宋体" w:hAnsi="Times New Roman" w:cs="Times New Roman"/>
          <w:kern w:val="0"/>
          <w:szCs w:val="21"/>
        </w:rPr>
      </w:pPr>
      <w:r w:rsidRPr="00121223">
        <w:rPr>
          <w:rFonts w:ascii="Times New Roman" w:eastAsia="宋体" w:hAnsi="Times New Roman" w:cs="Times New Roman"/>
          <w:color w:val="000000"/>
          <w:kern w:val="0"/>
          <w:sz w:val="32"/>
          <w:szCs w:val="32"/>
        </w:rPr>
        <w:t>参评银行最终得分为评选委员会中全体评选人员评分的算术平均数。评选委员会人数在</w:t>
      </w:r>
      <w:r w:rsidRPr="00121223">
        <w:rPr>
          <w:rFonts w:ascii="Times New Roman" w:eastAsia="宋体" w:hAnsi="Times New Roman" w:cs="Times New Roman"/>
          <w:color w:val="000000"/>
          <w:kern w:val="0"/>
          <w:sz w:val="32"/>
          <w:szCs w:val="32"/>
        </w:rPr>
        <w:t>5</w:t>
      </w:r>
      <w:r w:rsidRPr="00121223">
        <w:rPr>
          <w:rFonts w:ascii="仿宋_GB2312" w:eastAsia="仿宋_GB2312" w:hAnsi="Times New Roman" w:cs="Times New Roman"/>
          <w:color w:val="000000"/>
          <w:kern w:val="0"/>
          <w:sz w:val="32"/>
          <w:szCs w:val="32"/>
        </w:rPr>
        <w:t>人以上的，参评银行最</w:t>
      </w:r>
      <w:r w:rsidRPr="00121223">
        <w:rPr>
          <w:rFonts w:ascii="仿宋_GB2312" w:eastAsia="仿宋_GB2312" w:hAnsi="Times New Roman" w:cs="Times New Roman"/>
          <w:color w:val="000000"/>
          <w:kern w:val="0"/>
          <w:sz w:val="32"/>
          <w:szCs w:val="32"/>
        </w:rPr>
        <w:lastRenderedPageBreak/>
        <w:t>终得分为去掉全体评选人员评分中最高分和最低分后的算术平均数。</w:t>
      </w: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p>
    <w:p w:rsidR="00121223" w:rsidRPr="00121223" w:rsidRDefault="00121223" w:rsidP="00121223">
      <w:pPr>
        <w:widowControl/>
        <w:spacing w:line="560" w:lineRule="atLeast"/>
        <w:ind w:firstLine="640"/>
        <w:rPr>
          <w:rFonts w:ascii="Times New Roman" w:eastAsia="宋体" w:hAnsi="Times New Roman" w:cs="Times New Roman"/>
          <w:color w:val="000000"/>
          <w:kern w:val="0"/>
          <w:sz w:val="32"/>
          <w:szCs w:val="32"/>
        </w:rPr>
      </w:pPr>
    </w:p>
    <w:p w:rsidR="00000000" w:rsidRPr="00121223" w:rsidRDefault="00121223"/>
    <w:sectPr w:rsidR="00000000" w:rsidRPr="001212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223" w:rsidRDefault="00121223" w:rsidP="00121223">
      <w:r>
        <w:separator/>
      </w:r>
    </w:p>
  </w:endnote>
  <w:endnote w:type="continuationSeparator" w:id="1">
    <w:p w:rsidR="00121223" w:rsidRDefault="00121223" w:rsidP="001212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223" w:rsidRDefault="00121223" w:rsidP="00121223">
      <w:r>
        <w:separator/>
      </w:r>
    </w:p>
  </w:footnote>
  <w:footnote w:type="continuationSeparator" w:id="1">
    <w:p w:rsidR="00121223" w:rsidRDefault="00121223" w:rsidP="001212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1223"/>
    <w:rsid w:val="00121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2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223"/>
    <w:rPr>
      <w:sz w:val="18"/>
      <w:szCs w:val="18"/>
    </w:rPr>
  </w:style>
  <w:style w:type="paragraph" w:styleId="a4">
    <w:name w:val="footer"/>
    <w:basedOn w:val="a"/>
    <w:link w:val="Char0"/>
    <w:uiPriority w:val="99"/>
    <w:semiHidden/>
    <w:unhideWhenUsed/>
    <w:rsid w:val="001212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223"/>
    <w:rPr>
      <w:sz w:val="18"/>
      <w:szCs w:val="18"/>
    </w:rPr>
  </w:style>
  <w:style w:type="paragraph" w:customStyle="1" w:styleId="p0">
    <w:name w:val="p0"/>
    <w:basedOn w:val="a"/>
    <w:rsid w:val="00121223"/>
    <w:pPr>
      <w:widowControl/>
    </w:pPr>
    <w:rPr>
      <w:rFonts w:ascii="Times New Roman" w:eastAsia="宋体" w:hAnsi="Times New Roman" w:cs="Times New Roman"/>
      <w:kern w:val="0"/>
      <w:szCs w:val="21"/>
    </w:rPr>
  </w:style>
  <w:style w:type="paragraph" w:styleId="a5">
    <w:name w:val="Balloon Text"/>
    <w:basedOn w:val="a"/>
    <w:link w:val="Char1"/>
    <w:uiPriority w:val="99"/>
    <w:semiHidden/>
    <w:unhideWhenUsed/>
    <w:rsid w:val="00121223"/>
    <w:rPr>
      <w:sz w:val="18"/>
      <w:szCs w:val="18"/>
    </w:rPr>
  </w:style>
  <w:style w:type="character" w:customStyle="1" w:styleId="Char1">
    <w:name w:val="批注框文本 Char"/>
    <w:basedOn w:val="a0"/>
    <w:link w:val="a5"/>
    <w:uiPriority w:val="99"/>
    <w:semiHidden/>
    <w:rsid w:val="00121223"/>
    <w:rPr>
      <w:sz w:val="18"/>
      <w:szCs w:val="18"/>
    </w:rPr>
  </w:style>
</w:styles>
</file>

<file path=word/webSettings.xml><?xml version="1.0" encoding="utf-8"?>
<w:webSettings xmlns:r="http://schemas.openxmlformats.org/officeDocument/2006/relationships" xmlns:w="http://schemas.openxmlformats.org/wordprocessingml/2006/main">
  <w:divs>
    <w:div w:id="176425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Words>
  <Characters>1048</Characters>
  <Application>Microsoft Office Word</Application>
  <DocSecurity>0</DocSecurity>
  <Lines>8</Lines>
  <Paragraphs>2</Paragraphs>
  <ScaleCrop>false</ScaleCrop>
  <Company>china</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2024-12-12T09:46:00Z</dcterms:created>
  <dcterms:modified xsi:type="dcterms:W3CDTF">2024-12-12T09:46:00Z</dcterms:modified>
</cp:coreProperties>
</file>