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03D0B">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w:t>
      </w:r>
      <w:r>
        <w:rPr>
          <w:rFonts w:hint="eastAsia" w:ascii="方正小标宋简体" w:hAnsi="方正小标宋简体" w:eastAsia="方正小标宋简体" w:cs="方正小标宋简体"/>
          <w:sz w:val="44"/>
          <w:szCs w:val="44"/>
          <w:lang w:val="en-US" w:eastAsia="zh-CN"/>
        </w:rPr>
        <w:t>财政局</w:t>
      </w:r>
      <w:r>
        <w:rPr>
          <w:rFonts w:hint="eastAsia" w:ascii="方正小标宋简体" w:hAnsi="方正小标宋简体" w:eastAsia="方正小标宋简体" w:cs="方正小标宋简体"/>
          <w:sz w:val="44"/>
          <w:szCs w:val="44"/>
        </w:rPr>
        <w:t>2023年政府信息公开工作年度报告</w:t>
      </w:r>
    </w:p>
    <w:p w14:paraId="1890B95D">
      <w:pPr>
        <w:spacing w:line="579" w:lineRule="exact"/>
        <w:ind w:firstLine="640" w:firstLineChars="200"/>
        <w:rPr>
          <w:rFonts w:ascii="Times New Roman" w:hAnsi="Times New Roman" w:eastAsia="仿宋_GB2312" w:cs="仿宋_GB2312"/>
          <w:sz w:val="32"/>
          <w:szCs w:val="32"/>
        </w:rPr>
      </w:pPr>
    </w:p>
    <w:p w14:paraId="44B49BAE">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中华人民共和国政府信息公开条例》（国务院令第711号）规定，以及《国务院办公厅政府信息与政务公开办公室关于印发〈中华人民共和国政府信息公开工作年度报告格式〉的通知》（国办公开办函〔2021〕30号）要求，现将市</w:t>
      </w:r>
      <w:r>
        <w:rPr>
          <w:rFonts w:hint="eastAsia" w:ascii="Times New Roman" w:hAnsi="Times New Roman" w:eastAsia="仿宋_GB2312" w:cs="仿宋_GB2312"/>
          <w:sz w:val="32"/>
          <w:szCs w:val="32"/>
          <w:lang w:val="en-US" w:eastAsia="zh-CN"/>
        </w:rPr>
        <w:t>财政局</w:t>
      </w:r>
      <w:r>
        <w:rPr>
          <w:rFonts w:hint="eastAsia" w:ascii="Times New Roman" w:hAnsi="Times New Roman" w:eastAsia="仿宋_GB2312" w:cs="仿宋_GB2312"/>
          <w:sz w:val="32"/>
          <w:szCs w:val="32"/>
        </w:rPr>
        <w:t>2023年政府信息公开工作报告如下。本报告中所列数据的统计期限为2023年1月1日至2023年12月31日。如对本年度报告有疑问，请与鄂尔多斯市</w:t>
      </w:r>
      <w:r>
        <w:rPr>
          <w:rFonts w:hint="eastAsia" w:ascii="Times New Roman" w:hAnsi="Times New Roman" w:eastAsia="仿宋_GB2312" w:cs="仿宋_GB2312"/>
          <w:sz w:val="32"/>
          <w:szCs w:val="32"/>
          <w:lang w:val="en-US" w:eastAsia="zh-CN"/>
        </w:rPr>
        <w:t>财政</w:t>
      </w:r>
      <w:r>
        <w:rPr>
          <w:rFonts w:hint="eastAsia" w:ascii="Times New Roman" w:hAnsi="Times New Roman" w:eastAsia="仿宋_GB2312" w:cs="仿宋_GB2312"/>
          <w:sz w:val="32"/>
          <w:szCs w:val="32"/>
        </w:rPr>
        <w:t>局联系（电话：047</w:t>
      </w:r>
      <w:r>
        <w:rPr>
          <w:rFonts w:ascii="Times New Roman" w:hAnsi="Times New Roman" w:eastAsia="仿宋_GB2312" w:cs="仿宋_GB2312"/>
          <w:sz w:val="32"/>
          <w:szCs w:val="32"/>
        </w:rPr>
        <w:t>7</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8</w:t>
      </w:r>
      <w:r>
        <w:rPr>
          <w:rFonts w:hint="eastAsia" w:ascii="Times New Roman" w:hAnsi="Times New Roman" w:eastAsia="仿宋_GB2312" w:cs="仿宋_GB2312"/>
          <w:sz w:val="32"/>
          <w:szCs w:val="32"/>
          <w:lang w:val="en-US" w:eastAsia="zh-CN"/>
        </w:rPr>
        <w:t>581609</w:t>
      </w:r>
      <w:r>
        <w:rPr>
          <w:rFonts w:hint="eastAsia" w:ascii="Times New Roman" w:hAnsi="Times New Roman" w:eastAsia="仿宋_GB2312" w:cs="仿宋_GB2312"/>
          <w:sz w:val="32"/>
          <w:szCs w:val="32"/>
        </w:rPr>
        <w:t>）。</w:t>
      </w:r>
    </w:p>
    <w:p w14:paraId="68AE305D">
      <w:pPr>
        <w:spacing w:line="579"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一、总体情况</w:t>
      </w:r>
    </w:p>
    <w:p w14:paraId="0BC930CA">
      <w:pPr>
        <w:pStyle w:val="2"/>
        <w:spacing w:line="579" w:lineRule="exact"/>
        <w:ind w:left="0" w:firstLine="640" w:firstLineChars="200"/>
        <w:rPr>
          <w:rFonts w:ascii="Times New Roman" w:hAnsi="Times New Roman" w:eastAsia="仿宋_GB2312" w:cs="仿宋_GB2312"/>
          <w:smallCaps w:val="0"/>
          <w:sz w:val="32"/>
          <w:szCs w:val="32"/>
        </w:rPr>
      </w:pPr>
      <w:r>
        <w:rPr>
          <w:rFonts w:hint="eastAsia" w:ascii="Times New Roman" w:hAnsi="Times New Roman" w:eastAsia="仿宋_GB2312" w:cs="仿宋_GB2312"/>
          <w:smallCaps w:val="0"/>
          <w:kern w:val="0"/>
          <w:sz w:val="32"/>
          <w:szCs w:val="32"/>
          <w:shd w:val="clear" w:color="auto" w:fill="FFFFFF"/>
          <w:lang w:val="en-US" w:eastAsia="zh-CN" w:bidi="ar"/>
        </w:rPr>
        <w:t>2023年财政局在市委、市政府的正确领导下，认真贯彻落实《中华人民共和国政府信息公开条例》，严格落实政务公开的各项内容，坚持以习近平新时代中国特色社会主义思想为指导，深入贯彻党的二十大精神，认真落实《中华人民共和国政府信息公开条例》，准确、公开、透明发布政府信息，及时回应关切、解疑释惑，适应新时代的新变化和新要求，依法依规全程公开财政信息，紧密结合财政工作，立足财政职能，认真落实工作职责，保证政务公开各项工作有序推进。</w:t>
      </w:r>
    </w:p>
    <w:p w14:paraId="2C448902">
      <w:pPr>
        <w:pStyle w:val="2"/>
        <w:spacing w:line="579" w:lineRule="exact"/>
        <w:ind w:left="0" w:firstLine="640" w:firstLineChars="200"/>
        <w:rPr>
          <w:rFonts w:hint="eastAsia" w:ascii="Times New Roman" w:hAnsi="Times New Roman" w:eastAsia="仿宋_GB2312" w:cs="仿宋_GB2312"/>
          <w:smallCaps w:val="0"/>
          <w:kern w:val="0"/>
          <w:sz w:val="32"/>
          <w:szCs w:val="32"/>
          <w:shd w:val="clear" w:color="auto" w:fill="FFFFFF"/>
          <w:lang w:val="en-US" w:eastAsia="zh-CN" w:bidi="ar"/>
        </w:rPr>
      </w:pPr>
      <w:r>
        <w:rPr>
          <w:rFonts w:hint="eastAsia" w:ascii="Times New Roman" w:hAnsi="Times New Roman" w:eastAsia="楷体_GB2312" w:cs="楷体_GB2312"/>
          <w:smallCaps w:val="0"/>
          <w:sz w:val="32"/>
          <w:szCs w:val="32"/>
        </w:rPr>
        <w:t>（一）主动公开情况。</w:t>
      </w:r>
      <w:r>
        <w:rPr>
          <w:rFonts w:hint="eastAsia" w:ascii="Times New Roman" w:hAnsi="Times New Roman" w:eastAsia="仿宋_GB2312" w:cs="仿宋_GB2312"/>
          <w:smallCaps w:val="0"/>
          <w:kern w:val="0"/>
          <w:sz w:val="32"/>
          <w:szCs w:val="32"/>
          <w:shd w:val="clear" w:color="auto" w:fill="FFFFFF"/>
          <w:lang w:val="en-US" w:eastAsia="zh-CN" w:bidi="ar"/>
        </w:rPr>
        <w:t>2023年，市财政局严格按照政务公开工作相关规定，坚持及时性、准确性和真实性的工作标准，围绕群众所需，突出重点领域，依托门户网站、新媒体等多种渠道，综合运用文字、图片、视频等多种形式，及时公开相关信息，进一步扩大政府信息公开的覆盖面。在门户网站设置政府信息公开专栏，及时、规范发布法定主动公开内容，做好政府信息公开指南修订，有效保障信息公开的严肃性、有效性。主动公开鄂尔多斯市2023年政府财政预算、鄂尔多斯市2023年一般公共预算支出“三公”经费预算、鄂尔多斯市2022年度政府决算公开、鄂尔多斯市2022年度一般公共预算财政拨款“三公”经费支出决算鄂尔多斯市财政局政府信息公开指南、鄂尔多斯市财政局权力清单和责任清单、鄂尔多斯市财政局2023年度行政审批、行政处罚、行政裁决、其他权力流程图等内容，准时报送政府信息公开年报，在门户网站主动公开各类信息1000余条。</w:t>
      </w:r>
    </w:p>
    <w:p w14:paraId="78FAAD89">
      <w:pPr>
        <w:spacing w:line="579"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（二）依申请公开情况。</w:t>
      </w:r>
      <w:r>
        <w:rPr>
          <w:rFonts w:hint="eastAsia" w:ascii="Times New Roman" w:hAnsi="Times New Roman" w:eastAsia="仿宋_GB2312" w:cs="仿宋_GB2312"/>
          <w:sz w:val="32"/>
          <w:szCs w:val="32"/>
        </w:rPr>
        <w:t>严格执行新修订的《中华人民共和国政府信息公开条例》，健全完善政府信息公开申请登记、审核、办理、答复、归档的工作制度，明确工作程序，进一步规范依申请公开案件办理工作。全年收到信息公开申请</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件，均在法定期限内予以了答复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无行政复议和行政诉讼事项</w:t>
      </w:r>
      <w:r>
        <w:rPr>
          <w:rFonts w:hint="eastAsia" w:ascii="Times New Roman" w:hAnsi="Times New Roman" w:eastAsia="仿宋_GB2312" w:cs="仿宋_GB2312"/>
          <w:sz w:val="32"/>
          <w:szCs w:val="32"/>
        </w:rPr>
        <w:t>。</w:t>
      </w:r>
    </w:p>
    <w:p w14:paraId="32A03328">
      <w:pPr>
        <w:pStyle w:val="2"/>
        <w:spacing w:line="579" w:lineRule="exact"/>
        <w:ind w:left="0" w:firstLine="640" w:firstLineChars="200"/>
        <w:rPr>
          <w:rFonts w:ascii="Times New Roman" w:hAnsi="Times New Roman" w:eastAsia="仿宋_GB2312" w:cs="仿宋_GB2312"/>
          <w:smallCaps w:val="0"/>
          <w:sz w:val="32"/>
          <w:szCs w:val="32"/>
        </w:rPr>
      </w:pPr>
      <w:r>
        <w:rPr>
          <w:rFonts w:hint="eastAsia" w:ascii="Times New Roman" w:hAnsi="Times New Roman" w:eastAsia="楷体_GB2312" w:cs="楷体_GB2312"/>
          <w:smallCaps w:val="0"/>
          <w:sz w:val="32"/>
          <w:szCs w:val="32"/>
        </w:rPr>
        <w:t>（三）政府信息管理情况。</w:t>
      </w:r>
      <w:r>
        <w:rPr>
          <w:rFonts w:hint="eastAsia" w:ascii="Times New Roman" w:hAnsi="Times New Roman" w:eastAsia="仿宋_GB2312" w:cs="仿宋_GB2312"/>
          <w:smallCaps w:val="0"/>
          <w:kern w:val="0"/>
          <w:sz w:val="32"/>
          <w:szCs w:val="32"/>
          <w:shd w:val="clear" w:color="auto" w:fill="FFFFFF"/>
          <w:lang w:val="en-US" w:eastAsia="zh-CN" w:bidi="ar"/>
        </w:rPr>
        <w:t>加强和完善领导机制。高度注重政务公开工作，成立了以局主要负责人为组长的政务公开工作领导小组，不断加强对政务公开工作的筹划指引，同步督促、检查，上下联动，逐渐推动政务公开工作规范化、制度化。规范和完善制度建设。坚持“公开是原则，不公开是例外”、“谁主办、谁负责，先审查、后公开”的原则，采用切实有效的措施，及时公开财政信息。切实提升政府信息公开质量与效率，加强和完善</w:t>
      </w:r>
      <w:r>
        <w:rPr>
          <w:rFonts w:hint="eastAsia" w:ascii="Times New Roman" w:hAnsi="Times New Roman" w:eastAsia="仿宋_GB2312" w:cs="仿宋_GB2312"/>
          <w:smallCaps w:val="0"/>
          <w:sz w:val="32"/>
          <w:szCs w:val="32"/>
        </w:rPr>
        <w:t>局门户网站和政务新媒体日常管理和常态化监管，建立健全政府信息审查发布机制。积极推进信息资源整合，确保各类政策法规、规划计划、财政预算决算等重要信息及时主动公开。严格执行信息发布保密审查制度，确保所有公开的信息符合国家法律法规规定，不涉及国家秘密、商业秘密和个人隐私。定期开展自查清理，保证信息及时、全面、准确、有效。</w:t>
      </w:r>
    </w:p>
    <w:p w14:paraId="2C28C401">
      <w:pPr>
        <w:pStyle w:val="2"/>
        <w:spacing w:line="579" w:lineRule="exact"/>
        <w:ind w:left="0" w:firstLine="640" w:firstLineChars="200"/>
        <w:rPr>
          <w:rFonts w:hint="eastAsia" w:ascii="Times New Roman" w:hAnsi="Times New Roman" w:eastAsia="仿宋_GB2312" w:cs="仿宋_GB2312"/>
          <w:smallCaps w:val="0"/>
          <w:kern w:val="0"/>
          <w:sz w:val="32"/>
          <w:szCs w:val="32"/>
          <w:shd w:val="clear" w:color="auto" w:fill="FFFFFF"/>
          <w:lang w:val="en-US" w:eastAsia="zh-CN" w:bidi="ar"/>
        </w:rPr>
      </w:pPr>
      <w:r>
        <w:rPr>
          <w:rFonts w:hint="eastAsia" w:ascii="Times New Roman" w:hAnsi="Times New Roman" w:eastAsia="楷体_GB2312" w:cs="楷体_GB2312"/>
          <w:smallCaps w:val="0"/>
          <w:sz w:val="32"/>
          <w:szCs w:val="32"/>
        </w:rPr>
        <w:t>（四）政府信息公开平台建设情况</w:t>
      </w:r>
      <w:r>
        <w:rPr>
          <w:rFonts w:hint="eastAsia" w:ascii="Times New Roman" w:hAnsi="Times New Roman" w:eastAsia="仿宋_GB2312" w:cs="仿宋_GB2312"/>
          <w:smallCaps w:val="0"/>
          <w:kern w:val="0"/>
          <w:sz w:val="32"/>
          <w:szCs w:val="32"/>
          <w:shd w:val="clear" w:color="auto" w:fill="FFFFFF"/>
          <w:lang w:val="en-US" w:eastAsia="zh-CN" w:bidi="ar"/>
        </w:rPr>
        <w:t>。市财政局持续优化门户网站建设，不仅升级IPv6、实现无障碍与适老化改造，更好地服务残障人士及老年群体，还通过丰富栏目设置、精准内容推送，增强了信息获取的便捷性与准确性。同时，政务新媒体在政策宣导方面也发挥重要作用，其关注度与阅读量显著增长，有效拓宽了政策传播的广度与深度，切实增强了政府服务人民的能力与效率。</w:t>
      </w:r>
    </w:p>
    <w:p w14:paraId="14797B39">
      <w:pPr>
        <w:pStyle w:val="2"/>
        <w:spacing w:line="579" w:lineRule="exact"/>
        <w:ind w:left="0" w:firstLine="640" w:firstLineChars="200"/>
        <w:rPr>
          <w:rFonts w:ascii="Times New Roman" w:hAnsi="Times New Roman" w:eastAsia="仿宋_GB2312" w:cs="仿宋_GB2312"/>
          <w:smallCaps w:val="0"/>
          <w:sz w:val="32"/>
          <w:szCs w:val="32"/>
        </w:rPr>
      </w:pPr>
      <w:r>
        <w:rPr>
          <w:rFonts w:hint="eastAsia" w:ascii="Times New Roman" w:hAnsi="Times New Roman" w:eastAsia="楷体_GB2312" w:cs="楷体_GB2312"/>
          <w:smallCaps w:val="0"/>
          <w:sz w:val="32"/>
          <w:szCs w:val="32"/>
        </w:rPr>
        <w:t>（五）监督保障情况。</w:t>
      </w:r>
      <w:r>
        <w:rPr>
          <w:rFonts w:hint="eastAsia" w:ascii="Times New Roman" w:hAnsi="Times New Roman" w:eastAsia="仿宋_GB2312" w:cs="仿宋_GB2312"/>
          <w:smallCaps w:val="0"/>
          <w:sz w:val="32"/>
          <w:szCs w:val="32"/>
        </w:rPr>
        <w:t>建立并严格执行信息公开审核制度，从源头上把关政府信息公开的质量。</w:t>
      </w:r>
      <w:r>
        <w:rPr>
          <w:rFonts w:hint="eastAsia" w:ascii="仿宋_GB2312" w:hAnsi="仿宋_GB2312" w:eastAsia="仿宋_GB2312" w:cs="仿宋_GB2312"/>
          <w:smallCaps w:val="0"/>
          <w:sz w:val="32"/>
          <w:szCs w:val="32"/>
        </w:rPr>
        <w:t>明确政府网站、政务新媒体管理机构和人员，</w:t>
      </w:r>
      <w:r>
        <w:rPr>
          <w:rFonts w:hint="eastAsia" w:ascii="Times New Roman" w:hAnsi="Times New Roman" w:eastAsia="仿宋_GB2312" w:cs="仿宋_GB2312"/>
          <w:smallCaps w:val="0"/>
          <w:sz w:val="32"/>
          <w:szCs w:val="32"/>
        </w:rPr>
        <w:t>持续加强工作人员业务培训，提高依法公开意识和业务能力，确保政府信息公开工作的规范化、标准化实施。</w:t>
      </w:r>
    </w:p>
    <w:p w14:paraId="1406224C">
      <w:pPr>
        <w:pStyle w:val="3"/>
        <w:keepNext w:val="0"/>
        <w:keepLines w:val="0"/>
        <w:widowControl/>
        <w:suppressLineNumbers w:val="0"/>
        <w:spacing w:before="526" w:beforeAutospacing="0" w:after="226" w:afterAutospacing="0" w:line="315" w:lineRule="atLeast"/>
        <w:ind w:left="0" w:right="0" w:firstLine="420"/>
        <w:jc w:val="both"/>
        <w:rPr>
          <w:rFonts w:hint="eastAsia" w:ascii="宋体" w:hAnsi="宋体" w:eastAsia="宋体" w:cs="宋体"/>
          <w:color w:val="333333"/>
          <w:sz w:val="24"/>
          <w:szCs w:val="24"/>
        </w:rPr>
      </w:pPr>
    </w:p>
    <w:p w14:paraId="03DDFE5B">
      <w:pPr>
        <w:pStyle w:val="3"/>
        <w:keepNext w:val="0"/>
        <w:keepLines w:val="0"/>
        <w:widowControl/>
        <w:suppressLineNumbers w:val="0"/>
        <w:spacing w:before="526" w:beforeAutospacing="0" w:after="226" w:afterAutospacing="0" w:line="315" w:lineRule="atLeast"/>
        <w:ind w:left="0" w:right="0" w:firstLine="420"/>
        <w:jc w:val="both"/>
        <w:rPr>
          <w:rFonts w:hint="eastAsia" w:ascii="宋体" w:hAnsi="宋体" w:eastAsia="宋体" w:cs="宋体"/>
          <w:color w:val="333333"/>
          <w:sz w:val="24"/>
          <w:szCs w:val="24"/>
        </w:rPr>
      </w:pPr>
    </w:p>
    <w:p w14:paraId="6C906E1F">
      <w:pPr>
        <w:pStyle w:val="3"/>
        <w:keepNext w:val="0"/>
        <w:keepLines w:val="0"/>
        <w:widowControl/>
        <w:suppressLineNumbers w:val="0"/>
        <w:spacing w:before="526" w:beforeAutospacing="0" w:after="226" w:afterAutospacing="0" w:line="315" w:lineRule="atLeast"/>
        <w:ind w:left="0" w:right="0" w:firstLine="420"/>
        <w:jc w:val="both"/>
        <w:rPr>
          <w:rFonts w:hint="eastAsia" w:ascii="黑体" w:hAnsi="黑体" w:eastAsia="黑体" w:cs="黑体"/>
          <w:color w:val="333333"/>
          <w:sz w:val="32"/>
          <w:szCs w:val="32"/>
        </w:rPr>
      </w:pPr>
      <w:r>
        <w:rPr>
          <w:rFonts w:hint="eastAsia" w:ascii="黑体" w:hAnsi="黑体" w:eastAsia="黑体" w:cs="黑体"/>
          <w:color w:val="333333"/>
          <w:sz w:val="32"/>
          <w:szCs w:val="32"/>
        </w:rPr>
        <w:t>二、主动公开</w:t>
      </w:r>
      <w:bookmarkStart w:id="0" w:name="_GoBack"/>
      <w:bookmarkEnd w:id="0"/>
      <w:r>
        <w:rPr>
          <w:rFonts w:hint="eastAsia" w:ascii="黑体" w:hAnsi="黑体" w:eastAsia="黑体" w:cs="黑体"/>
          <w:color w:val="333333"/>
          <w:sz w:val="32"/>
          <w:szCs w:val="32"/>
        </w:rPr>
        <w:t>政府信息情况</w:t>
      </w:r>
    </w:p>
    <w:tbl>
      <w:tblPr>
        <w:tblStyle w:val="4"/>
        <w:tblW w:w="0" w:type="auto"/>
        <w:jc w:val="center"/>
        <w:tblLayout w:type="autofit"/>
        <w:tblCellMar>
          <w:top w:w="0" w:type="dxa"/>
          <w:left w:w="0" w:type="dxa"/>
          <w:bottom w:w="0" w:type="dxa"/>
          <w:right w:w="0" w:type="dxa"/>
        </w:tblCellMar>
      </w:tblPr>
      <w:tblGrid>
        <w:gridCol w:w="4218"/>
        <w:gridCol w:w="1416"/>
        <w:gridCol w:w="1416"/>
        <w:gridCol w:w="1416"/>
      </w:tblGrid>
      <w:tr w14:paraId="5F0E0ABD">
        <w:tblPrEx>
          <w:tblCellMar>
            <w:top w:w="0" w:type="dxa"/>
            <w:left w:w="0" w:type="dxa"/>
            <w:bottom w:w="0" w:type="dxa"/>
            <w:right w:w="0" w:type="dxa"/>
          </w:tblCellMar>
        </w:tblPrEx>
        <w:trPr>
          <w:trHeight w:val="495" w:hRule="atLeast"/>
          <w:jc w:val="center"/>
        </w:trPr>
        <w:tc>
          <w:tcPr>
            <w:tcW w:w="8466"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3A03FBA">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第二十条第（一）项</w:t>
            </w:r>
          </w:p>
        </w:tc>
      </w:tr>
      <w:tr w14:paraId="1078DCD7">
        <w:tblPrEx>
          <w:tblCellMar>
            <w:top w:w="0" w:type="dxa"/>
            <w:left w:w="0" w:type="dxa"/>
            <w:bottom w:w="0" w:type="dxa"/>
            <w:right w:w="0" w:type="dxa"/>
          </w:tblCellMar>
        </w:tblPrEx>
        <w:trPr>
          <w:trHeight w:val="882" w:hRule="atLeast"/>
          <w:jc w:val="center"/>
        </w:trPr>
        <w:tc>
          <w:tcPr>
            <w:tcW w:w="421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31411D0">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141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CE01315">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eastAsia="宋体" w:cs="宋体"/>
                <w:kern w:val="0"/>
                <w:sz w:val="24"/>
                <w:szCs w:val="24"/>
                <w:lang w:eastAsia="zh-CN"/>
              </w:rPr>
            </w:pPr>
            <w:r>
              <w:rPr>
                <w:rFonts w:hint="eastAsia" w:ascii="宋体" w:hAnsi="宋体" w:cs="宋体"/>
                <w:color w:val="000000"/>
                <w:kern w:val="0"/>
                <w:sz w:val="20"/>
                <w:szCs w:val="20"/>
              </w:rPr>
              <w:t>本年</w:t>
            </w:r>
            <w:r>
              <w:rPr>
                <w:rFonts w:hint="eastAsia" w:ascii="宋体" w:hAnsi="宋体" w:cs="宋体"/>
                <w:color w:val="000000"/>
                <w:kern w:val="0"/>
                <w:sz w:val="20"/>
                <w:szCs w:val="20"/>
                <w:lang w:eastAsia="zh-CN"/>
              </w:rPr>
              <w:t>制发件数</w:t>
            </w:r>
          </w:p>
        </w:tc>
        <w:tc>
          <w:tcPr>
            <w:tcW w:w="14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BF4B032">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eastAsia="宋体" w:cs="宋体"/>
                <w:kern w:val="0"/>
                <w:sz w:val="24"/>
                <w:szCs w:val="24"/>
                <w:lang w:eastAsia="zh-CN"/>
              </w:rPr>
            </w:pPr>
            <w:r>
              <w:rPr>
                <w:rFonts w:hint="eastAsia" w:ascii="宋体" w:hAnsi="宋体" w:cs="宋体"/>
                <w:color w:val="000000"/>
                <w:kern w:val="0"/>
                <w:sz w:val="20"/>
                <w:szCs w:val="20"/>
              </w:rPr>
              <w:t>本年</w:t>
            </w:r>
            <w:r>
              <w:rPr>
                <w:rFonts w:hint="eastAsia" w:ascii="宋体" w:hAnsi="宋体" w:cs="宋体"/>
                <w:color w:val="000000"/>
                <w:kern w:val="0"/>
                <w:sz w:val="20"/>
                <w:szCs w:val="20"/>
                <w:lang w:eastAsia="zh-CN"/>
              </w:rPr>
              <w:t>废止件数</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EDEDB1A">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eastAsia="宋体" w:cs="宋体"/>
                <w:kern w:val="0"/>
                <w:sz w:val="24"/>
                <w:szCs w:val="24"/>
                <w:lang w:eastAsia="zh-CN"/>
              </w:rPr>
            </w:pPr>
            <w:r>
              <w:rPr>
                <w:rFonts w:hint="eastAsia" w:ascii="宋体" w:hAnsi="宋体" w:cs="宋体"/>
                <w:color w:val="000000"/>
                <w:kern w:val="0"/>
                <w:sz w:val="20"/>
                <w:szCs w:val="20"/>
                <w:lang w:eastAsia="zh-CN"/>
              </w:rPr>
              <w:t>现行有效件数</w:t>
            </w:r>
          </w:p>
        </w:tc>
      </w:tr>
      <w:tr w14:paraId="03E7FF87">
        <w:tblPrEx>
          <w:tblCellMar>
            <w:top w:w="0" w:type="dxa"/>
            <w:left w:w="0" w:type="dxa"/>
            <w:bottom w:w="0" w:type="dxa"/>
            <w:right w:w="0" w:type="dxa"/>
          </w:tblCellMar>
        </w:tblPrEx>
        <w:trPr>
          <w:trHeight w:val="523" w:hRule="atLeast"/>
          <w:jc w:val="center"/>
        </w:trPr>
        <w:tc>
          <w:tcPr>
            <w:tcW w:w="421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17D6C90">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规章</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AB98756">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lang w:val="en-US" w:eastAsia="zh-CN"/>
              </w:rPr>
              <w:t>0</w:t>
            </w:r>
          </w:p>
        </w:tc>
        <w:tc>
          <w:tcPr>
            <w:tcW w:w="14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6E6EEBF">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lang w:val="en-US" w:eastAsia="zh-CN"/>
              </w:rPr>
              <w:t>0</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A24346">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lang w:val="en-US" w:eastAsia="zh-CN"/>
              </w:rPr>
              <w:t>0</w:t>
            </w:r>
          </w:p>
        </w:tc>
      </w:tr>
      <w:tr w14:paraId="04409347">
        <w:tblPrEx>
          <w:tblCellMar>
            <w:top w:w="0" w:type="dxa"/>
            <w:left w:w="0" w:type="dxa"/>
            <w:bottom w:w="0" w:type="dxa"/>
            <w:right w:w="0" w:type="dxa"/>
          </w:tblCellMar>
        </w:tblPrEx>
        <w:trPr>
          <w:trHeight w:val="471" w:hRule="atLeast"/>
          <w:jc w:val="center"/>
        </w:trPr>
        <w:tc>
          <w:tcPr>
            <w:tcW w:w="421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33FAED">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lang w:val="en-US" w:eastAsia="zh-CN"/>
              </w:rPr>
              <w:t>行政</w:t>
            </w:r>
            <w:r>
              <w:rPr>
                <w:rFonts w:hint="eastAsia" w:ascii="宋体" w:hAnsi="宋体" w:cs="宋体"/>
                <w:color w:val="000000"/>
                <w:kern w:val="0"/>
                <w:sz w:val="20"/>
                <w:szCs w:val="20"/>
              </w:rPr>
              <w:t>规范性文件</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B108E64">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lang w:val="en-US" w:eastAsia="zh-CN"/>
              </w:rPr>
              <w:t>4</w:t>
            </w:r>
          </w:p>
        </w:tc>
        <w:tc>
          <w:tcPr>
            <w:tcW w:w="14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C3C5965">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lang w:val="en-US" w:eastAsia="zh-CN"/>
              </w:rPr>
              <w:t>7</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AF57F7">
            <w:pPr>
              <w:keepNext w:val="0"/>
              <w:keepLines w:val="0"/>
              <w:pageBreakBefore w:val="0"/>
              <w:widowControl/>
              <w:kinsoku/>
              <w:wordWrap/>
              <w:overflowPunct/>
              <w:topLinePunct w:val="0"/>
              <w:autoSpaceDE/>
              <w:autoSpaceDN/>
              <w:bidi w:val="0"/>
              <w:adjustRightInd/>
              <w:snapToGrid/>
              <w:spacing w:line="540" w:lineRule="exact"/>
              <w:jc w:val="center"/>
              <w:rPr>
                <w:rFonts w:hint="default" w:ascii="宋体" w:hAnsi="宋体" w:cs="宋体" w:eastAsiaTheme="minorEastAsia"/>
                <w:kern w:val="0"/>
                <w:sz w:val="24"/>
                <w:szCs w:val="24"/>
                <w:lang w:val="en-US" w:eastAsia="zh-CN"/>
              </w:rPr>
            </w:pPr>
            <w:r>
              <w:rPr>
                <w:rFonts w:hint="eastAsia" w:ascii="宋体" w:hAnsi="宋体" w:cs="宋体"/>
                <w:color w:val="000000"/>
                <w:kern w:val="0"/>
                <w:sz w:val="20"/>
                <w:szCs w:val="20"/>
                <w:lang w:val="en-US" w:eastAsia="zh-CN"/>
              </w:rPr>
              <w:t>30</w:t>
            </w:r>
          </w:p>
        </w:tc>
      </w:tr>
      <w:tr w14:paraId="5089AABC">
        <w:tblPrEx>
          <w:tblCellMar>
            <w:top w:w="0" w:type="dxa"/>
            <w:left w:w="0" w:type="dxa"/>
            <w:bottom w:w="0" w:type="dxa"/>
            <w:right w:w="0" w:type="dxa"/>
          </w:tblCellMar>
        </w:tblPrEx>
        <w:trPr>
          <w:trHeight w:val="480" w:hRule="atLeast"/>
          <w:jc w:val="center"/>
        </w:trPr>
        <w:tc>
          <w:tcPr>
            <w:tcW w:w="8466"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B845778">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第二十条第（五）项</w:t>
            </w:r>
          </w:p>
        </w:tc>
      </w:tr>
      <w:tr w14:paraId="44E3F185">
        <w:tblPrEx>
          <w:tblCellMar>
            <w:top w:w="0" w:type="dxa"/>
            <w:left w:w="0" w:type="dxa"/>
            <w:bottom w:w="0" w:type="dxa"/>
            <w:right w:w="0" w:type="dxa"/>
          </w:tblCellMar>
        </w:tblPrEx>
        <w:trPr>
          <w:trHeight w:val="634" w:hRule="atLeast"/>
          <w:jc w:val="center"/>
        </w:trPr>
        <w:tc>
          <w:tcPr>
            <w:tcW w:w="421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5F7D9EF">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4248"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49F060E">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lang w:eastAsia="zh-CN"/>
              </w:rPr>
              <w:t>本年</w:t>
            </w:r>
            <w:r>
              <w:rPr>
                <w:rFonts w:hint="eastAsia" w:ascii="宋体" w:hAnsi="宋体" w:cs="宋体"/>
                <w:color w:val="000000"/>
                <w:kern w:val="0"/>
                <w:sz w:val="20"/>
                <w:szCs w:val="20"/>
              </w:rPr>
              <w:t>处理决定数量</w:t>
            </w:r>
          </w:p>
        </w:tc>
      </w:tr>
      <w:tr w14:paraId="65E7D85B">
        <w:tblPrEx>
          <w:tblCellMar>
            <w:top w:w="0" w:type="dxa"/>
            <w:left w:w="0" w:type="dxa"/>
            <w:bottom w:w="0" w:type="dxa"/>
            <w:right w:w="0" w:type="dxa"/>
          </w:tblCellMar>
        </w:tblPrEx>
        <w:trPr>
          <w:trHeight w:val="516" w:hRule="atLeast"/>
          <w:jc w:val="center"/>
        </w:trPr>
        <w:tc>
          <w:tcPr>
            <w:tcW w:w="421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D2EFF0">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行政许可</w:t>
            </w:r>
          </w:p>
        </w:tc>
        <w:tc>
          <w:tcPr>
            <w:tcW w:w="42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DC29C1C">
            <w:pPr>
              <w:keepNext w:val="0"/>
              <w:keepLines w:val="0"/>
              <w:pageBreakBefore w:val="0"/>
              <w:widowControl/>
              <w:kinsoku/>
              <w:wordWrap/>
              <w:overflowPunct/>
              <w:topLinePunct w:val="0"/>
              <w:autoSpaceDE/>
              <w:autoSpaceDN/>
              <w:bidi w:val="0"/>
              <w:adjustRightInd/>
              <w:snapToGrid/>
              <w:spacing w:line="540" w:lineRule="exact"/>
              <w:jc w:val="center"/>
              <w:rPr>
                <w:rFonts w:hint="default" w:ascii="宋体" w:hAnsi="宋体" w:cs="宋体"/>
                <w:kern w:val="0"/>
                <w:sz w:val="24"/>
                <w:szCs w:val="24"/>
                <w:lang w:val="en-US"/>
              </w:rPr>
            </w:pPr>
            <w:r>
              <w:rPr>
                <w:rFonts w:hint="eastAsia" w:ascii="宋体" w:hAnsi="宋体" w:cs="宋体"/>
                <w:color w:val="000000"/>
                <w:kern w:val="0"/>
                <w:sz w:val="20"/>
                <w:szCs w:val="20"/>
                <w:lang w:val="en-US" w:eastAsia="zh-CN"/>
              </w:rPr>
              <w:t>0</w:t>
            </w:r>
          </w:p>
        </w:tc>
      </w:tr>
      <w:tr w14:paraId="5B790177">
        <w:tblPrEx>
          <w:tblCellMar>
            <w:top w:w="0" w:type="dxa"/>
            <w:left w:w="0" w:type="dxa"/>
            <w:bottom w:w="0" w:type="dxa"/>
            <w:right w:w="0" w:type="dxa"/>
          </w:tblCellMar>
        </w:tblPrEx>
        <w:trPr>
          <w:trHeight w:val="406" w:hRule="atLeast"/>
          <w:jc w:val="center"/>
        </w:trPr>
        <w:tc>
          <w:tcPr>
            <w:tcW w:w="8466"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B30BDD9">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第二十条第（六）项</w:t>
            </w:r>
          </w:p>
        </w:tc>
      </w:tr>
      <w:tr w14:paraId="27701595">
        <w:tblPrEx>
          <w:tblCellMar>
            <w:top w:w="0" w:type="dxa"/>
            <w:left w:w="0" w:type="dxa"/>
            <w:bottom w:w="0" w:type="dxa"/>
            <w:right w:w="0" w:type="dxa"/>
          </w:tblCellMar>
        </w:tblPrEx>
        <w:trPr>
          <w:trHeight w:val="634" w:hRule="atLeast"/>
          <w:jc w:val="center"/>
        </w:trPr>
        <w:tc>
          <w:tcPr>
            <w:tcW w:w="421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7A5368">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4248"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2BFBA71">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lang w:eastAsia="zh-CN"/>
              </w:rPr>
              <w:t>本年</w:t>
            </w:r>
            <w:r>
              <w:rPr>
                <w:rFonts w:hint="eastAsia" w:ascii="宋体" w:hAnsi="宋体" w:cs="宋体"/>
                <w:color w:val="000000"/>
                <w:kern w:val="0"/>
                <w:sz w:val="20"/>
                <w:szCs w:val="20"/>
              </w:rPr>
              <w:t>处理决定数量</w:t>
            </w:r>
          </w:p>
        </w:tc>
      </w:tr>
      <w:tr w14:paraId="12E2A10B">
        <w:tblPrEx>
          <w:tblCellMar>
            <w:top w:w="0" w:type="dxa"/>
            <w:left w:w="0" w:type="dxa"/>
            <w:bottom w:w="0" w:type="dxa"/>
            <w:right w:w="0" w:type="dxa"/>
          </w:tblCellMar>
        </w:tblPrEx>
        <w:trPr>
          <w:trHeight w:val="528" w:hRule="atLeast"/>
          <w:jc w:val="center"/>
        </w:trPr>
        <w:tc>
          <w:tcPr>
            <w:tcW w:w="421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36B9110">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行政处罚</w:t>
            </w:r>
          </w:p>
        </w:tc>
        <w:tc>
          <w:tcPr>
            <w:tcW w:w="42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29629866">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lang w:val="en-US" w:eastAsia="zh-CN"/>
              </w:rPr>
              <w:t>0</w:t>
            </w:r>
          </w:p>
        </w:tc>
      </w:tr>
      <w:tr w14:paraId="6092B762">
        <w:tblPrEx>
          <w:tblCellMar>
            <w:top w:w="0" w:type="dxa"/>
            <w:left w:w="0" w:type="dxa"/>
            <w:bottom w:w="0" w:type="dxa"/>
            <w:right w:w="0" w:type="dxa"/>
          </w:tblCellMar>
        </w:tblPrEx>
        <w:trPr>
          <w:trHeight w:val="497" w:hRule="atLeast"/>
          <w:jc w:val="center"/>
        </w:trPr>
        <w:tc>
          <w:tcPr>
            <w:tcW w:w="421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04C864">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行政强制</w:t>
            </w:r>
          </w:p>
        </w:tc>
        <w:tc>
          <w:tcPr>
            <w:tcW w:w="424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F8F9A2E">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lang w:val="en-US" w:eastAsia="zh-CN"/>
              </w:rPr>
              <w:t>0</w:t>
            </w:r>
          </w:p>
        </w:tc>
      </w:tr>
      <w:tr w14:paraId="3FF824CD">
        <w:tblPrEx>
          <w:tblCellMar>
            <w:top w:w="0" w:type="dxa"/>
            <w:left w:w="0" w:type="dxa"/>
            <w:bottom w:w="0" w:type="dxa"/>
            <w:right w:w="0" w:type="dxa"/>
          </w:tblCellMar>
        </w:tblPrEx>
        <w:trPr>
          <w:trHeight w:val="474" w:hRule="atLeast"/>
          <w:jc w:val="center"/>
        </w:trPr>
        <w:tc>
          <w:tcPr>
            <w:tcW w:w="8466"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818BC71">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第二十条第（八）项</w:t>
            </w:r>
          </w:p>
        </w:tc>
      </w:tr>
      <w:tr w14:paraId="44A6F1CC">
        <w:tblPrEx>
          <w:tblCellMar>
            <w:top w:w="0" w:type="dxa"/>
            <w:left w:w="0" w:type="dxa"/>
            <w:bottom w:w="0" w:type="dxa"/>
            <w:right w:w="0" w:type="dxa"/>
          </w:tblCellMar>
        </w:tblPrEx>
        <w:trPr>
          <w:trHeight w:val="270" w:hRule="atLeast"/>
          <w:jc w:val="center"/>
        </w:trPr>
        <w:tc>
          <w:tcPr>
            <w:tcW w:w="421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C580A33">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4248"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59CD947F">
            <w:pPr>
              <w:keepNext w:val="0"/>
              <w:keepLines w:val="0"/>
              <w:pageBreakBefore w:val="0"/>
              <w:widowControl/>
              <w:kinsoku/>
              <w:wordWrap/>
              <w:overflowPunct/>
              <w:topLinePunct w:val="0"/>
              <w:autoSpaceDE/>
              <w:autoSpaceDN/>
              <w:bidi w:val="0"/>
              <w:adjustRightInd/>
              <w:snapToGrid/>
              <w:spacing w:line="540" w:lineRule="exact"/>
              <w:jc w:val="center"/>
              <w:rPr>
                <w:rFonts w:hint="eastAsia" w:ascii="宋体" w:hAnsi="宋体" w:eastAsia="宋体" w:cs="宋体"/>
                <w:kern w:val="0"/>
                <w:sz w:val="24"/>
                <w:szCs w:val="24"/>
                <w:lang w:eastAsia="zh-CN"/>
              </w:rPr>
            </w:pPr>
            <w:r>
              <w:rPr>
                <w:rFonts w:hint="eastAsia" w:ascii="宋体" w:hAnsi="宋体" w:cs="宋体"/>
                <w:color w:val="000000"/>
                <w:kern w:val="0"/>
                <w:sz w:val="20"/>
                <w:szCs w:val="20"/>
                <w:lang w:eastAsia="zh-CN"/>
              </w:rPr>
              <w:t>本年收费金额（单位：万元）</w:t>
            </w:r>
          </w:p>
        </w:tc>
      </w:tr>
      <w:tr w14:paraId="1AFE248C">
        <w:tblPrEx>
          <w:tblCellMar>
            <w:top w:w="0" w:type="dxa"/>
            <w:left w:w="0" w:type="dxa"/>
            <w:bottom w:w="0" w:type="dxa"/>
            <w:right w:w="0" w:type="dxa"/>
          </w:tblCellMar>
        </w:tblPrEx>
        <w:trPr>
          <w:trHeight w:val="551" w:hRule="atLeast"/>
          <w:jc w:val="center"/>
        </w:trPr>
        <w:tc>
          <w:tcPr>
            <w:tcW w:w="421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74C02B6">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rPr>
              <w:t>行政事业性收费</w:t>
            </w:r>
          </w:p>
        </w:tc>
        <w:tc>
          <w:tcPr>
            <w:tcW w:w="4248"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5F910ACF">
            <w:pPr>
              <w:keepNext w:val="0"/>
              <w:keepLines w:val="0"/>
              <w:pageBreakBefore w:val="0"/>
              <w:widowControl/>
              <w:kinsoku/>
              <w:wordWrap/>
              <w:overflowPunct/>
              <w:topLinePunct w:val="0"/>
              <w:autoSpaceDE/>
              <w:autoSpaceDN/>
              <w:bidi w:val="0"/>
              <w:adjustRightInd/>
              <w:snapToGrid/>
              <w:spacing w:line="540" w:lineRule="exact"/>
              <w:jc w:val="center"/>
              <w:rPr>
                <w:rFonts w:ascii="宋体" w:hAnsi="宋体" w:cs="宋体"/>
                <w:kern w:val="0"/>
                <w:sz w:val="24"/>
                <w:szCs w:val="24"/>
              </w:rPr>
            </w:pPr>
            <w:r>
              <w:rPr>
                <w:rFonts w:hint="eastAsia" w:ascii="宋体" w:hAnsi="宋体" w:cs="宋体"/>
                <w:color w:val="000000"/>
                <w:kern w:val="0"/>
                <w:sz w:val="20"/>
                <w:szCs w:val="20"/>
                <w:lang w:val="en-US" w:eastAsia="zh-CN"/>
              </w:rPr>
              <w:t>0</w:t>
            </w:r>
          </w:p>
        </w:tc>
      </w:tr>
    </w:tbl>
    <w:p w14:paraId="339496ED">
      <w:pPr>
        <w:pStyle w:val="3"/>
        <w:keepNext w:val="0"/>
        <w:keepLines w:val="0"/>
        <w:widowControl/>
        <w:suppressLineNumbers w:val="0"/>
        <w:spacing w:before="526" w:beforeAutospacing="0" w:after="226" w:afterAutospacing="0" w:line="315" w:lineRule="atLeast"/>
        <w:ind w:left="0" w:right="0" w:firstLine="420"/>
        <w:jc w:val="both"/>
        <w:rPr>
          <w:rFonts w:hint="eastAsia" w:ascii="宋体" w:hAnsi="宋体" w:eastAsia="宋体" w:cs="宋体"/>
          <w:color w:val="333333"/>
          <w:sz w:val="24"/>
          <w:szCs w:val="24"/>
        </w:rPr>
      </w:pPr>
    </w:p>
    <w:p w14:paraId="2503F43B">
      <w:pPr>
        <w:pStyle w:val="3"/>
        <w:keepNext w:val="0"/>
        <w:keepLines w:val="0"/>
        <w:widowControl/>
        <w:suppressLineNumbers w:val="0"/>
        <w:spacing w:before="526" w:beforeAutospacing="0" w:after="226" w:afterAutospacing="0" w:line="315" w:lineRule="atLeast"/>
        <w:ind w:left="0" w:right="0" w:firstLine="420"/>
        <w:jc w:val="both"/>
        <w:rPr>
          <w:rFonts w:hint="eastAsia" w:ascii="黑体" w:hAnsi="黑体" w:eastAsia="黑体" w:cs="黑体"/>
          <w:sz w:val="32"/>
          <w:szCs w:val="32"/>
        </w:rPr>
      </w:pPr>
      <w:r>
        <w:rPr>
          <w:rFonts w:hint="eastAsia" w:ascii="黑体" w:hAnsi="黑体" w:eastAsia="黑体" w:cs="黑体"/>
          <w:color w:val="333333"/>
          <w:sz w:val="32"/>
          <w:szCs w:val="32"/>
        </w:rPr>
        <w:t>三、收到和处理政府信息公开申请情况</w:t>
      </w:r>
    </w:p>
    <w:p w14:paraId="068514A9">
      <w:pPr>
        <w:pStyle w:val="3"/>
        <w:keepNext w:val="0"/>
        <w:keepLines w:val="0"/>
        <w:widowControl/>
        <w:suppressLineNumbers w:val="0"/>
        <w:spacing w:before="300" w:beforeAutospacing="0" w:after="0" w:afterAutospacing="0" w:line="480" w:lineRule="atLeast"/>
        <w:ind w:left="0" w:right="0"/>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5"/>
        <w:gridCol w:w="810"/>
        <w:gridCol w:w="1830"/>
        <w:gridCol w:w="720"/>
        <w:gridCol w:w="660"/>
        <w:gridCol w:w="660"/>
        <w:gridCol w:w="720"/>
        <w:gridCol w:w="855"/>
        <w:gridCol w:w="645"/>
        <w:gridCol w:w="570"/>
      </w:tblGrid>
      <w:tr w14:paraId="7A48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5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ACF354E">
            <w:pPr>
              <w:pStyle w:val="3"/>
              <w:keepNext w:val="0"/>
              <w:keepLines w:val="0"/>
              <w:widowControl/>
              <w:suppressLineNumbers w:val="0"/>
              <w:spacing w:before="0" w:beforeAutospacing="0" w:after="0" w:afterAutospacing="0" w:line="21" w:lineRule="atLeast"/>
              <w:jc w:val="center"/>
            </w:pPr>
            <w:r>
              <w:rPr>
                <w:rFonts w:ascii="楷体" w:hAnsi="楷体" w:eastAsia="楷体" w:cs="楷体"/>
                <w:color w:val="333333"/>
                <w:sz w:val="19"/>
                <w:szCs w:val="19"/>
              </w:rPr>
              <w:t>（本列数据的勾稽关系为：第一项加第二项之和，等于第三项加第四项之和）</w:t>
            </w:r>
          </w:p>
        </w:tc>
        <w:tc>
          <w:tcPr>
            <w:tcW w:w="4815" w:type="dxa"/>
            <w:gridSpan w:val="7"/>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BF14763">
            <w:pPr>
              <w:pStyle w:val="3"/>
              <w:keepNext w:val="0"/>
              <w:keepLines w:val="0"/>
              <w:widowControl/>
              <w:suppressLineNumbers w:val="0"/>
              <w:spacing w:before="0" w:beforeAutospacing="0" w:after="0" w:afterAutospacing="0" w:line="21" w:lineRule="atLeast"/>
              <w:jc w:val="center"/>
            </w:pPr>
            <w:r>
              <w:rPr>
                <w:rFonts w:ascii="仿宋" w:hAnsi="仿宋" w:eastAsia="仿宋" w:cs="仿宋"/>
                <w:color w:val="333333"/>
                <w:sz w:val="19"/>
                <w:szCs w:val="19"/>
              </w:rPr>
              <w:t>申请人情况</w:t>
            </w:r>
          </w:p>
        </w:tc>
      </w:tr>
      <w:tr w14:paraId="43314CD4">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325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F6C8868">
            <w:pPr>
              <w:rPr>
                <w:rFonts w:hint="eastAsia" w:ascii="微软雅黑" w:hAnsi="微软雅黑" w:eastAsia="微软雅黑" w:cs="微软雅黑"/>
                <w:color w:val="333333"/>
                <w:sz w:val="24"/>
                <w:szCs w:val="24"/>
              </w:rPr>
            </w:pPr>
          </w:p>
        </w:tc>
        <w:tc>
          <w:tcPr>
            <w:tcW w:w="720"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2F834B">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自然人</w:t>
            </w:r>
          </w:p>
        </w:tc>
        <w:tc>
          <w:tcPr>
            <w:tcW w:w="3540" w:type="dxa"/>
            <w:gridSpan w:val="5"/>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8C741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法人或其他组织</w:t>
            </w:r>
          </w:p>
        </w:tc>
        <w:tc>
          <w:tcPr>
            <w:tcW w:w="555" w:type="dxa"/>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D7780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总计</w:t>
            </w:r>
          </w:p>
        </w:tc>
      </w:tr>
      <w:tr w14:paraId="372A3472">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325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1C89C6A">
            <w:pPr>
              <w:rPr>
                <w:rFonts w:hint="eastAsia" w:ascii="微软雅黑" w:hAnsi="微软雅黑" w:eastAsia="微软雅黑" w:cs="微软雅黑"/>
                <w:color w:val="333333"/>
                <w:sz w:val="24"/>
                <w:szCs w:val="24"/>
              </w:rPr>
            </w:pPr>
          </w:p>
        </w:tc>
        <w:tc>
          <w:tcPr>
            <w:tcW w:w="72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6427D2">
            <w:pPr>
              <w:rPr>
                <w:rFonts w:hint="eastAsia" w:ascii="微软雅黑" w:hAnsi="微软雅黑" w:eastAsia="微软雅黑" w:cs="微软雅黑"/>
                <w:color w:val="333333"/>
                <w:sz w:val="24"/>
                <w:szCs w:val="24"/>
              </w:rPr>
            </w:pP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D6344A">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商业企业</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F84DDAE">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科研机构</w:t>
            </w:r>
          </w:p>
        </w:tc>
        <w:tc>
          <w:tcPr>
            <w:tcW w:w="72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4C7AE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社会公益组织</w:t>
            </w:r>
          </w:p>
        </w:tc>
        <w:tc>
          <w:tcPr>
            <w:tcW w:w="85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1524F4">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法律服务机构</w:t>
            </w:r>
          </w:p>
        </w:tc>
        <w:tc>
          <w:tcPr>
            <w:tcW w:w="6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09A3C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其他</w:t>
            </w:r>
          </w:p>
        </w:tc>
        <w:tc>
          <w:tcPr>
            <w:tcW w:w="555" w:type="dxa"/>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CBAFA0">
            <w:pPr>
              <w:rPr>
                <w:rFonts w:hint="eastAsia" w:ascii="微软雅黑" w:hAnsi="微软雅黑" w:eastAsia="微软雅黑" w:cs="微软雅黑"/>
                <w:color w:val="333333"/>
                <w:sz w:val="24"/>
                <w:szCs w:val="24"/>
              </w:rPr>
            </w:pPr>
          </w:p>
        </w:tc>
      </w:tr>
      <w:tr w14:paraId="2A90641B">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55"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D120428">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一、本年新收政府信息公开申请数量</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C103F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9</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64F51A">
            <w:pPr>
              <w:pStyle w:val="3"/>
              <w:keepNext w:val="0"/>
              <w:keepLines w:val="0"/>
              <w:widowControl/>
              <w:suppressLineNumbers w:val="0"/>
              <w:spacing w:before="0" w:beforeAutospacing="0" w:after="0" w:afterAutospacing="0" w:line="21" w:lineRule="atLeast"/>
              <w:jc w:val="center"/>
            </w:pPr>
            <w:r>
              <w:rPr>
                <w:rFonts w:hint="default" w:ascii="Times New Roman" w:hAnsi="Times New Roman" w:eastAsia="微软雅黑" w:cs="Times New Roman"/>
                <w:color w:val="333333"/>
                <w:sz w:val="19"/>
                <w:szCs w:val="19"/>
              </w:rPr>
              <w:t> </w:t>
            </w:r>
            <w:r>
              <w:rPr>
                <w:rFonts w:hint="eastAsia" w:ascii="仿宋" w:hAnsi="仿宋" w:eastAsia="仿宋" w:cs="仿宋"/>
                <w:color w:val="333333"/>
                <w:sz w:val="19"/>
                <w:szCs w:val="19"/>
              </w:rPr>
              <w:t>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1C21FD">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CD5C3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528C9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398D74D">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135065">
            <w:pPr>
              <w:pStyle w:val="3"/>
              <w:keepNext w:val="0"/>
              <w:keepLines w:val="0"/>
              <w:widowControl/>
              <w:suppressLineNumbers w:val="0"/>
              <w:spacing w:before="0" w:beforeAutospacing="0" w:after="0" w:afterAutospacing="0" w:line="21" w:lineRule="atLeast"/>
              <w:jc w:val="center"/>
            </w:pPr>
            <w:r>
              <w:rPr>
                <w:rFonts w:hint="default" w:ascii="Times New Roman" w:hAnsi="Times New Roman" w:eastAsia="微软雅黑" w:cs="Times New Roman"/>
                <w:color w:val="333333"/>
                <w:sz w:val="19"/>
                <w:szCs w:val="19"/>
              </w:rPr>
              <w:t> </w:t>
            </w:r>
            <w:r>
              <w:rPr>
                <w:rFonts w:hint="eastAsia" w:ascii="仿宋" w:hAnsi="仿宋" w:eastAsia="仿宋" w:cs="仿宋"/>
                <w:color w:val="333333"/>
                <w:sz w:val="19"/>
                <w:szCs w:val="19"/>
              </w:rPr>
              <w:t>9</w:t>
            </w:r>
          </w:p>
        </w:tc>
      </w:tr>
      <w:tr w14:paraId="4BBC91AC">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55"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1429EB8">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二、上年结转政府信息公开申请数量</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1B8E0F">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7ACFD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E2906B">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A0DF6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0E8AD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B24DD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DF5DF4">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r>
      <w:tr w14:paraId="0D9A5D12">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615"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BF6142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三、本年度办理结果</w:t>
            </w:r>
          </w:p>
        </w:tc>
        <w:tc>
          <w:tcPr>
            <w:tcW w:w="2640"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2072C8">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（一）予以公开</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F5F636">
            <w:pPr>
              <w:pStyle w:val="3"/>
              <w:keepNext w:val="0"/>
              <w:keepLines w:val="0"/>
              <w:widowControl/>
              <w:suppressLineNumbers w:val="0"/>
              <w:spacing w:before="0" w:beforeAutospacing="0" w:after="0" w:afterAutospacing="0" w:line="21" w:lineRule="atLeast"/>
              <w:jc w:val="center"/>
            </w:pPr>
            <w:r>
              <w:rPr>
                <w:rFonts w:hint="default" w:ascii="Times New Roman" w:hAnsi="Times New Roman" w:eastAsia="微软雅黑" w:cs="Times New Roman"/>
                <w:color w:val="333333"/>
                <w:sz w:val="19"/>
                <w:szCs w:val="19"/>
              </w:rPr>
              <w:t> </w:t>
            </w:r>
            <w:r>
              <w:rPr>
                <w:rFonts w:hint="eastAsia" w:ascii="仿宋" w:hAnsi="仿宋" w:eastAsia="仿宋" w:cs="仿宋"/>
                <w:color w:val="333333"/>
                <w:sz w:val="19"/>
                <w:szCs w:val="19"/>
              </w:rPr>
              <w:t>9</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884C04">
            <w:pPr>
              <w:pStyle w:val="3"/>
              <w:keepNext w:val="0"/>
              <w:keepLines w:val="0"/>
              <w:widowControl/>
              <w:suppressLineNumbers w:val="0"/>
              <w:spacing w:before="0" w:beforeAutospacing="0" w:after="0" w:afterAutospacing="0" w:line="21" w:lineRule="atLeast"/>
              <w:jc w:val="center"/>
            </w:pPr>
            <w:r>
              <w:rPr>
                <w:rFonts w:hint="default" w:ascii="Times New Roman" w:hAnsi="Times New Roman" w:eastAsia="微软雅黑" w:cs="Times New Roman"/>
                <w:color w:val="333333"/>
                <w:sz w:val="19"/>
                <w:szCs w:val="19"/>
              </w:rPr>
              <w:t> </w:t>
            </w:r>
            <w:r>
              <w:rPr>
                <w:rFonts w:hint="eastAsia" w:ascii="仿宋" w:hAnsi="仿宋" w:eastAsia="仿宋" w:cs="仿宋"/>
                <w:color w:val="333333"/>
                <w:sz w:val="19"/>
                <w:szCs w:val="19"/>
              </w:rPr>
              <w:t>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9884EC">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A4BD7C">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ACE336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988589">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30B30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9</w:t>
            </w:r>
          </w:p>
        </w:tc>
      </w:tr>
      <w:tr w14:paraId="45250CC1">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9473DCC">
            <w:pPr>
              <w:rPr>
                <w:rFonts w:hint="eastAsia" w:ascii="微软雅黑" w:hAnsi="微软雅黑" w:eastAsia="微软雅黑" w:cs="微软雅黑"/>
                <w:color w:val="333333"/>
                <w:sz w:val="24"/>
                <w:szCs w:val="24"/>
              </w:rPr>
            </w:pPr>
          </w:p>
        </w:tc>
        <w:tc>
          <w:tcPr>
            <w:tcW w:w="2640"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8B5DEB">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（二）部分公开</w:t>
            </w:r>
            <w:r>
              <w:rPr>
                <w:rFonts w:hint="eastAsia" w:ascii="楷体" w:hAnsi="楷体" w:eastAsia="楷体" w:cs="楷体"/>
                <w:color w:val="333333"/>
                <w:sz w:val="19"/>
                <w:szCs w:val="19"/>
              </w:rPr>
              <w:t>（区分处理的，只计这一情形，不计其他情形）</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E83C5E">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B0564D2">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4455A9">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0D898FD">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B78D2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C52FEA">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43C76E">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r>
      <w:tr w14:paraId="186F9354">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4A0F8F1">
            <w:pPr>
              <w:rPr>
                <w:rFonts w:hint="eastAsia" w:ascii="微软雅黑" w:hAnsi="微软雅黑" w:eastAsia="微软雅黑" w:cs="微软雅黑"/>
                <w:color w:val="333333"/>
                <w:sz w:val="24"/>
                <w:szCs w:val="24"/>
              </w:rPr>
            </w:pPr>
          </w:p>
        </w:tc>
        <w:tc>
          <w:tcPr>
            <w:tcW w:w="810"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DB5440">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（三）不予公开</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305456">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1.属于国家秘密</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50EE45">
            <w:pPr>
              <w:pStyle w:val="3"/>
              <w:keepNext w:val="0"/>
              <w:keepLines w:val="0"/>
              <w:widowControl/>
              <w:suppressLineNumbers w:val="0"/>
              <w:spacing w:before="0" w:beforeAutospacing="0" w:after="0" w:afterAutospacing="0" w:line="21" w:lineRule="atLeast"/>
              <w:jc w:val="center"/>
            </w:pPr>
            <w:r>
              <w:rPr>
                <w:rFonts w:hint="default" w:ascii="Times New Roman" w:hAnsi="Times New Roman" w:eastAsia="微软雅黑" w:cs="Times New Roman"/>
                <w:color w:val="333333"/>
                <w:sz w:val="19"/>
                <w:szCs w:val="19"/>
              </w:rPr>
              <w:t> </w:t>
            </w:r>
            <w:r>
              <w:rPr>
                <w:rFonts w:hint="eastAsia" w:ascii="仿宋" w:hAnsi="仿宋" w:eastAsia="仿宋" w:cs="仿宋"/>
                <w:color w:val="333333"/>
                <w:sz w:val="19"/>
                <w:szCs w:val="19"/>
              </w:rPr>
              <w:t>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44F11D">
            <w:pPr>
              <w:pStyle w:val="3"/>
              <w:keepNext w:val="0"/>
              <w:keepLines w:val="0"/>
              <w:widowControl/>
              <w:suppressLineNumbers w:val="0"/>
              <w:spacing w:before="0" w:beforeAutospacing="0" w:after="0" w:afterAutospacing="0" w:line="21" w:lineRule="atLeast"/>
              <w:jc w:val="center"/>
            </w:pPr>
            <w:r>
              <w:rPr>
                <w:rFonts w:hint="default" w:ascii="Times New Roman" w:hAnsi="Times New Roman" w:eastAsia="微软雅黑" w:cs="Times New Roman"/>
                <w:color w:val="333333"/>
                <w:sz w:val="19"/>
                <w:szCs w:val="19"/>
              </w:rPr>
              <w:t> </w:t>
            </w:r>
            <w:r>
              <w:rPr>
                <w:rFonts w:hint="eastAsia" w:ascii="仿宋" w:hAnsi="仿宋" w:eastAsia="仿宋" w:cs="仿宋"/>
                <w:color w:val="333333"/>
                <w:sz w:val="19"/>
                <w:szCs w:val="19"/>
              </w:rPr>
              <w:t>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75CB8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42D3A9">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7033D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9A631A">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0E26CCB">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r>
      <w:tr w14:paraId="52DD85ED">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CB6BDB6">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E2B874">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1F4270">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2.其他法律行政法规禁止公开</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278C8E">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DE041D">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C08F5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2B6C59">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D22D4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0AAEBE">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420E3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r>
      <w:tr w14:paraId="10588DEE">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A8C6FD2">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2F6216">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D17E06">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3.危及“三安全一稳定”</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9A55D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C03A2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87BBFC">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C575B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05046D">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BCEE9D">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0279C9">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r>
      <w:tr w14:paraId="04FA2149">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0AEAAB7">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2A4430">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0F52820">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4.保护第三方合法权益</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27045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D45B5D">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63DEB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7A02D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BA670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42367F">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46F76B">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r>
      <w:tr w14:paraId="54D809BF">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3C1E41E">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15F72A">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8DA005">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5.属于三类内部事务信息</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267261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37C6A2">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512EF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67ED1A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092662">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3E3CFE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1A7DF4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r>
      <w:tr w14:paraId="7F75CFD2">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2C44EAB">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75BBE9">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BCD720">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6.属于四类过程性信息</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9BC30E">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F56705C">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FA6A84">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58A58C">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B3FB7D">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2FDC91">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81D774">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r>
      <w:tr w14:paraId="2C73EC2A">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BA3F708">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86D98C9">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B44E9A4">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7.属于行政执法案卷</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BB657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57C582">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984E3BD">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A31BDB">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DF6F7E4">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32BB9CF">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6A275F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r>
      <w:tr w14:paraId="65B0D2BD">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3617AA1">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F12512E">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AB51E2">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8.属于行政查询事项</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01882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CF09E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D0FC5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00953C">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CF648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61582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062496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r>
      <w:tr w14:paraId="4F40832B">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A05D361">
            <w:pPr>
              <w:rPr>
                <w:rFonts w:hint="eastAsia" w:ascii="微软雅黑" w:hAnsi="微软雅黑" w:eastAsia="微软雅黑" w:cs="微软雅黑"/>
                <w:color w:val="333333"/>
                <w:sz w:val="24"/>
                <w:szCs w:val="24"/>
              </w:rPr>
            </w:pPr>
          </w:p>
        </w:tc>
        <w:tc>
          <w:tcPr>
            <w:tcW w:w="810"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8DB4BC">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（四）无法提供</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AA1780">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1.本机关不掌握相关政府信息</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89E49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592372">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152D5B">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534F1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3EFF14">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50EE8D">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B7697A">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r>
      <w:tr w14:paraId="6EC4E890">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1E766F8">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8368DF">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3170B6">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2.没有现成信息需要另行制作</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552A54">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5D547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029641">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FE52D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BD8F6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F956C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5B80E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r>
      <w:tr w14:paraId="28AD8CDE">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2D9B557">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70D4BB">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D4D040">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3.补正后申请内容仍不明确</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1DFB99">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44CC6C">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6C0F8F">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33D40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55735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F3E144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5B7BF1">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r>
      <w:tr w14:paraId="0118E5ED">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2DA5DB4">
            <w:pPr>
              <w:rPr>
                <w:rFonts w:hint="eastAsia" w:ascii="微软雅黑" w:hAnsi="微软雅黑" w:eastAsia="微软雅黑" w:cs="微软雅黑"/>
                <w:color w:val="333333"/>
                <w:sz w:val="24"/>
                <w:szCs w:val="24"/>
              </w:rPr>
            </w:pPr>
          </w:p>
        </w:tc>
        <w:tc>
          <w:tcPr>
            <w:tcW w:w="810"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24906B">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（五）不予处理</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1825B2">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1.信访举报投诉类申请</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57A501">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4D01C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0EC75E">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08095A">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C479A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C8BE7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8ECA8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r>
      <w:tr w14:paraId="01731407">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B4DC518">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A64AFE">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5EBD8B">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2.重复申请</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7CB55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E18B7F">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FB6AE1">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9FCE2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63E4F3E">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166F5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DDFC87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r>
      <w:tr w14:paraId="7D8EC97D">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7133F9D">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BCBDB2">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11AD68">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3.要求提供公开出版物</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EC77CA">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43C392">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695B2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711CE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1C7509">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73DA29">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939F3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r>
      <w:tr w14:paraId="5BBE3B03">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E99D748">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824175">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B9A1636">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4.无正当理由大量反复申请</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E9CD0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CACE3F">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B067082">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CFC51F">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1C55D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17913C">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AEBD5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r>
      <w:tr w14:paraId="7856BFB3">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3F7FAE5">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0295AA">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20B909">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5.要求行政机关确认或重新出具已获取信息</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E476A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DB395B">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EA1C85">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2AEAD1">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8BA1C1">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A8A8E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4004CB">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r>
      <w:tr w14:paraId="08733EC3">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F664114">
            <w:pPr>
              <w:rPr>
                <w:rFonts w:hint="eastAsia" w:ascii="微软雅黑" w:hAnsi="微软雅黑" w:eastAsia="微软雅黑" w:cs="微软雅黑"/>
                <w:color w:val="333333"/>
                <w:sz w:val="24"/>
                <w:szCs w:val="24"/>
              </w:rPr>
            </w:pPr>
          </w:p>
        </w:tc>
        <w:tc>
          <w:tcPr>
            <w:tcW w:w="810" w:type="dxa"/>
            <w:vMerge w:val="restart"/>
            <w:tcBorders>
              <w:top w:val="nil"/>
              <w:left w:val="nil"/>
              <w:bottom w:val="single" w:color="999999" w:sz="6" w:space="0"/>
              <w:right w:val="single" w:color="000000" w:sz="6" w:space="0"/>
            </w:tcBorders>
            <w:shd w:val="clear" w:color="auto" w:fill="auto"/>
            <w:tcMar>
              <w:top w:w="0" w:type="dxa"/>
              <w:left w:w="105" w:type="dxa"/>
              <w:bottom w:w="0" w:type="dxa"/>
              <w:right w:w="105" w:type="dxa"/>
            </w:tcMar>
            <w:vAlign w:val="center"/>
          </w:tcPr>
          <w:p w14:paraId="059FBE9B">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（六）其他处理</w:t>
            </w: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3B3ADE">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1.申请人无正当理由预期不补正、行政机关不再处理其政府信息公开申请</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C043D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8B10F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8C48D1">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04204C9">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889ED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CD177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E9976A">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r>
      <w:tr w14:paraId="49C0786D">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9D79F29">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999999" w:sz="6" w:space="0"/>
              <w:right w:val="single" w:color="000000" w:sz="6" w:space="0"/>
            </w:tcBorders>
            <w:shd w:val="clear" w:color="auto" w:fill="auto"/>
            <w:tcMar>
              <w:top w:w="0" w:type="dxa"/>
              <w:left w:w="105" w:type="dxa"/>
              <w:bottom w:w="0" w:type="dxa"/>
              <w:right w:w="105" w:type="dxa"/>
            </w:tcMar>
            <w:vAlign w:val="center"/>
          </w:tcPr>
          <w:p w14:paraId="596D15F8">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6E7031">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2.申请人预期未按收费通知要求缴纳费用、行政机关不再处理其政府信息公开申请</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874ED2">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17F1A9">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8FB423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29F89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B5292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50F53F">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148710">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w:t>
            </w:r>
          </w:p>
        </w:tc>
      </w:tr>
      <w:tr w14:paraId="608414C3">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14EABA2">
            <w:pPr>
              <w:rPr>
                <w:rFonts w:hint="eastAsia" w:ascii="微软雅黑" w:hAnsi="微软雅黑" w:eastAsia="微软雅黑" w:cs="微软雅黑"/>
                <w:color w:val="333333"/>
                <w:sz w:val="24"/>
                <w:szCs w:val="24"/>
              </w:rPr>
            </w:pPr>
          </w:p>
        </w:tc>
        <w:tc>
          <w:tcPr>
            <w:tcW w:w="810" w:type="dxa"/>
            <w:vMerge w:val="continue"/>
            <w:tcBorders>
              <w:top w:val="nil"/>
              <w:left w:val="nil"/>
              <w:bottom w:val="single" w:color="999999" w:sz="6" w:space="0"/>
              <w:right w:val="single" w:color="000000" w:sz="6" w:space="0"/>
            </w:tcBorders>
            <w:shd w:val="clear" w:color="auto" w:fill="auto"/>
            <w:tcMar>
              <w:top w:w="0" w:type="dxa"/>
              <w:left w:w="105" w:type="dxa"/>
              <w:bottom w:w="0" w:type="dxa"/>
              <w:right w:w="105" w:type="dxa"/>
            </w:tcMar>
            <w:vAlign w:val="center"/>
          </w:tcPr>
          <w:p w14:paraId="57585B23">
            <w:pPr>
              <w:rPr>
                <w:rFonts w:hint="eastAsia" w:ascii="微软雅黑" w:hAnsi="微软雅黑" w:eastAsia="微软雅黑" w:cs="微软雅黑"/>
                <w:color w:val="333333"/>
                <w:sz w:val="24"/>
                <w:szCs w:val="24"/>
              </w:rPr>
            </w:pPr>
          </w:p>
        </w:tc>
        <w:tc>
          <w:tcPr>
            <w:tcW w:w="18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CE331C">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3.其他</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11519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7D8CF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DAFF4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45757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AAD61C">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54D78F">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EAC82E">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w:t>
            </w:r>
          </w:p>
        </w:tc>
      </w:tr>
      <w:tr w14:paraId="325C5AB0">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615"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66DAE6E">
            <w:pPr>
              <w:rPr>
                <w:rFonts w:hint="eastAsia" w:ascii="微软雅黑" w:hAnsi="微软雅黑" w:eastAsia="微软雅黑" w:cs="微软雅黑"/>
                <w:color w:val="333333"/>
                <w:sz w:val="24"/>
                <w:szCs w:val="24"/>
              </w:rPr>
            </w:pPr>
          </w:p>
        </w:tc>
        <w:tc>
          <w:tcPr>
            <w:tcW w:w="2640"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9BE537">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（七）总计</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0E8232">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24"/>
                <w:szCs w:val="24"/>
              </w:rPr>
              <w:t>9</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A83226">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124E61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BD958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ED57A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9FFBB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9D327E">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9</w:t>
            </w:r>
          </w:p>
        </w:tc>
      </w:tr>
      <w:tr w14:paraId="3B93EFF5">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255"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B34130C">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19"/>
                <w:szCs w:val="19"/>
              </w:rPr>
              <w:t>四、结转下年度继续办理</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B763B3">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796A57">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E9581B8">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7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6C4D8B">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8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CD442A">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 0</w:t>
            </w:r>
          </w:p>
        </w:tc>
        <w:tc>
          <w:tcPr>
            <w:tcW w:w="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643562">
            <w:pPr>
              <w:pStyle w:val="3"/>
              <w:keepNext w:val="0"/>
              <w:keepLines w:val="0"/>
              <w:widowControl/>
              <w:suppressLineNumbers w:val="0"/>
              <w:spacing w:before="0" w:beforeAutospacing="0" w:after="0" w:afterAutospacing="0" w:line="21" w:lineRule="atLeast"/>
              <w:jc w:val="center"/>
            </w:pPr>
            <w:r>
              <w:rPr>
                <w:rFonts w:hint="eastAsia" w:ascii="仿宋" w:hAnsi="仿宋" w:eastAsia="仿宋" w:cs="仿宋"/>
                <w:color w:val="333333"/>
                <w:sz w:val="19"/>
                <w:szCs w:val="19"/>
              </w:rPr>
              <w:t>0 </w:t>
            </w:r>
          </w:p>
        </w:tc>
        <w:tc>
          <w:tcPr>
            <w:tcW w:w="5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2B7B21">
            <w:pPr>
              <w:pStyle w:val="3"/>
              <w:keepNext w:val="0"/>
              <w:keepLines w:val="0"/>
              <w:widowControl/>
              <w:suppressLineNumbers w:val="0"/>
              <w:spacing w:before="0" w:beforeAutospacing="0" w:after="0" w:afterAutospacing="0" w:line="21" w:lineRule="atLeast"/>
            </w:pPr>
            <w:r>
              <w:rPr>
                <w:rFonts w:hint="eastAsia" w:ascii="仿宋" w:hAnsi="仿宋" w:eastAsia="仿宋" w:cs="仿宋"/>
                <w:color w:val="333333"/>
                <w:sz w:val="24"/>
                <w:szCs w:val="24"/>
              </w:rPr>
              <w:t>  0</w:t>
            </w:r>
          </w:p>
        </w:tc>
      </w:tr>
    </w:tbl>
    <w:p w14:paraId="7DDC9539">
      <w:pPr>
        <w:pStyle w:val="3"/>
        <w:keepNext w:val="0"/>
        <w:keepLines w:val="0"/>
        <w:widowControl/>
        <w:suppressLineNumbers w:val="0"/>
        <w:spacing w:before="300" w:beforeAutospacing="0" w:after="0" w:afterAutospacing="0" w:line="480" w:lineRule="atLeast"/>
        <w:ind w:left="0" w:right="0"/>
      </w:pPr>
    </w:p>
    <w:p w14:paraId="08336978">
      <w:pPr>
        <w:pStyle w:val="3"/>
        <w:keepNext w:val="0"/>
        <w:keepLines w:val="0"/>
        <w:widowControl/>
        <w:suppressLineNumbers w:val="0"/>
        <w:spacing w:before="526" w:beforeAutospacing="0" w:after="226" w:afterAutospacing="0" w:line="315" w:lineRule="atLeast"/>
        <w:ind w:left="0" w:right="0" w:firstLine="420"/>
        <w:jc w:val="both"/>
        <w:rPr>
          <w:rFonts w:hint="eastAsia" w:ascii="黑体" w:hAnsi="黑体" w:eastAsia="黑体" w:cs="黑体"/>
          <w:sz w:val="32"/>
          <w:szCs w:val="32"/>
        </w:rPr>
      </w:pPr>
      <w:r>
        <w:rPr>
          <w:rFonts w:hint="eastAsia" w:ascii="黑体" w:hAnsi="黑体" w:eastAsia="黑体" w:cs="黑体"/>
          <w:color w:val="333333"/>
          <w:sz w:val="32"/>
          <w:szCs w:val="32"/>
        </w:rPr>
        <w:t>四、政府信息公开行政复议、行政诉讼情况</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10"/>
        <w:gridCol w:w="510"/>
        <w:gridCol w:w="510"/>
        <w:gridCol w:w="510"/>
        <w:gridCol w:w="585"/>
        <w:gridCol w:w="495"/>
        <w:gridCol w:w="510"/>
        <w:gridCol w:w="510"/>
        <w:gridCol w:w="510"/>
        <w:gridCol w:w="540"/>
        <w:gridCol w:w="510"/>
        <w:gridCol w:w="510"/>
        <w:gridCol w:w="510"/>
        <w:gridCol w:w="510"/>
        <w:gridCol w:w="540"/>
      </w:tblGrid>
      <w:tr w14:paraId="770B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262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4B60930">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行政复议</w:t>
            </w:r>
          </w:p>
        </w:tc>
        <w:tc>
          <w:tcPr>
            <w:tcW w:w="5115" w:type="dxa"/>
            <w:gridSpan w:val="10"/>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320024">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行政诉讼</w:t>
            </w:r>
          </w:p>
        </w:tc>
      </w:tr>
      <w:tr w14:paraId="66933482">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10" w:type="dxa"/>
            <w:vMerge w:val="restart"/>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DF42FFC">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结果维持</w:t>
            </w:r>
          </w:p>
        </w:tc>
        <w:tc>
          <w:tcPr>
            <w:tcW w:w="510"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CEF5FF">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结果纠正</w:t>
            </w:r>
          </w:p>
        </w:tc>
        <w:tc>
          <w:tcPr>
            <w:tcW w:w="510" w:type="dxa"/>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4DA290">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其他结果</w:t>
            </w:r>
          </w:p>
        </w:tc>
        <w:tc>
          <w:tcPr>
            <w:tcW w:w="510" w:type="dxa"/>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E8D9155">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尚未审结</w:t>
            </w:r>
          </w:p>
        </w:tc>
        <w:tc>
          <w:tcPr>
            <w:tcW w:w="570" w:type="dxa"/>
            <w:vMerge w:val="restart"/>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2B9B01">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总计</w:t>
            </w:r>
          </w:p>
        </w:tc>
        <w:tc>
          <w:tcPr>
            <w:tcW w:w="2535" w:type="dxa"/>
            <w:gridSpan w:val="5"/>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51C669">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未经复议直接起诉</w:t>
            </w:r>
          </w:p>
        </w:tc>
        <w:tc>
          <w:tcPr>
            <w:tcW w:w="2580" w:type="dxa"/>
            <w:gridSpan w:val="5"/>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B3CFBB">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复议后起诉</w:t>
            </w:r>
          </w:p>
        </w:tc>
      </w:tr>
      <w:tr w14:paraId="7252D8F7">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5" w:hRule="atLeast"/>
        </w:trPr>
        <w:tc>
          <w:tcPr>
            <w:tcW w:w="510" w:type="dxa"/>
            <w:vMerge w:val="continue"/>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0229D9A">
            <w:pPr>
              <w:rPr>
                <w:rFonts w:hint="eastAsia" w:ascii="微软雅黑" w:hAnsi="微软雅黑" w:eastAsia="微软雅黑" w:cs="微软雅黑"/>
                <w:color w:val="333333"/>
                <w:sz w:val="24"/>
                <w:szCs w:val="24"/>
              </w:rPr>
            </w:pPr>
          </w:p>
        </w:tc>
        <w:tc>
          <w:tcPr>
            <w:tcW w:w="510" w:type="dxa"/>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16B613">
            <w:pPr>
              <w:rPr>
                <w:rFonts w:hint="eastAsia" w:ascii="微软雅黑" w:hAnsi="微软雅黑" w:eastAsia="微软雅黑" w:cs="微软雅黑"/>
                <w:color w:val="333333"/>
                <w:sz w:val="24"/>
                <w:szCs w:val="24"/>
              </w:rPr>
            </w:pPr>
          </w:p>
        </w:tc>
        <w:tc>
          <w:tcPr>
            <w:tcW w:w="510" w:type="dxa"/>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809A0C">
            <w:pPr>
              <w:rPr>
                <w:rFonts w:hint="eastAsia" w:ascii="微软雅黑" w:hAnsi="微软雅黑" w:eastAsia="微软雅黑" w:cs="微软雅黑"/>
                <w:color w:val="333333"/>
                <w:sz w:val="24"/>
                <w:szCs w:val="24"/>
              </w:rPr>
            </w:pPr>
          </w:p>
        </w:tc>
        <w:tc>
          <w:tcPr>
            <w:tcW w:w="510" w:type="dxa"/>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C71866">
            <w:pPr>
              <w:rPr>
                <w:rFonts w:hint="eastAsia" w:ascii="微软雅黑" w:hAnsi="微软雅黑" w:eastAsia="微软雅黑" w:cs="微软雅黑"/>
                <w:color w:val="333333"/>
                <w:sz w:val="24"/>
                <w:szCs w:val="24"/>
              </w:rPr>
            </w:pPr>
          </w:p>
        </w:tc>
        <w:tc>
          <w:tcPr>
            <w:tcW w:w="570" w:type="dxa"/>
            <w:vMerge w:val="continue"/>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26E187">
            <w:pPr>
              <w:rPr>
                <w:rFonts w:hint="eastAsia" w:ascii="微软雅黑" w:hAnsi="微软雅黑" w:eastAsia="微软雅黑" w:cs="微软雅黑"/>
                <w:color w:val="333333"/>
                <w:sz w:val="24"/>
                <w:szCs w:val="24"/>
              </w:rPr>
            </w:pPr>
          </w:p>
        </w:tc>
        <w:tc>
          <w:tcPr>
            <w:tcW w:w="4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F70C318">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结果维持</w:t>
            </w:r>
          </w:p>
        </w:tc>
        <w:tc>
          <w:tcPr>
            <w:tcW w:w="5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0058A4">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结果纠正</w:t>
            </w:r>
          </w:p>
        </w:tc>
        <w:tc>
          <w:tcPr>
            <w:tcW w:w="51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0C6CCE">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其他结果</w:t>
            </w:r>
          </w:p>
        </w:tc>
        <w:tc>
          <w:tcPr>
            <w:tcW w:w="51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649CC3C">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尚未审结</w:t>
            </w:r>
          </w:p>
        </w:tc>
        <w:tc>
          <w:tcPr>
            <w:tcW w:w="5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AF77535">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总计</w:t>
            </w:r>
          </w:p>
        </w:tc>
        <w:tc>
          <w:tcPr>
            <w:tcW w:w="51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9AB2DC">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结果维持</w:t>
            </w:r>
          </w:p>
        </w:tc>
        <w:tc>
          <w:tcPr>
            <w:tcW w:w="51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70D9B7E">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结果纠正</w:t>
            </w:r>
          </w:p>
        </w:tc>
        <w:tc>
          <w:tcPr>
            <w:tcW w:w="51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D51200A">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其他结果</w:t>
            </w:r>
          </w:p>
        </w:tc>
        <w:tc>
          <w:tcPr>
            <w:tcW w:w="51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43D755">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尚未审结</w:t>
            </w:r>
          </w:p>
        </w:tc>
        <w:tc>
          <w:tcPr>
            <w:tcW w:w="5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B52D2E">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总计</w:t>
            </w:r>
          </w:p>
        </w:tc>
      </w:tr>
      <w:tr w14:paraId="590487BE">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1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CAADE33">
            <w:pPr>
              <w:pStyle w:val="3"/>
              <w:keepNext w:val="0"/>
              <w:keepLines w:val="0"/>
              <w:widowControl/>
              <w:suppressLineNumbers w:val="0"/>
              <w:spacing w:before="0" w:beforeAutospacing="0" w:after="0" w:afterAutospacing="0" w:line="21" w:lineRule="atLeast"/>
              <w:jc w:val="center"/>
            </w:pPr>
            <w:r>
              <w:rPr>
                <w:rFonts w:hint="default" w:ascii="Times New Roman" w:hAnsi="Times New Roman" w:eastAsia="微软雅黑" w:cs="Times New Roman"/>
                <w:color w:val="333333"/>
                <w:sz w:val="19"/>
                <w:szCs w:val="19"/>
              </w:rPr>
              <w:t> </w:t>
            </w:r>
            <w:r>
              <w:rPr>
                <w:rFonts w:hint="eastAsia" w:ascii="宋体" w:hAnsi="宋体" w:eastAsia="宋体" w:cs="宋体"/>
                <w:color w:val="333333"/>
                <w:sz w:val="19"/>
                <w:szCs w:val="19"/>
              </w:rPr>
              <w:t>0</w:t>
            </w:r>
          </w:p>
        </w:tc>
        <w:tc>
          <w:tcPr>
            <w:tcW w:w="5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9ED439">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0</w:t>
            </w:r>
            <w:r>
              <w:rPr>
                <w:rFonts w:hint="default" w:ascii="Times New Roman" w:hAnsi="Times New Roman" w:eastAsia="微软雅黑" w:cs="Times New Roman"/>
                <w:color w:val="333333"/>
                <w:sz w:val="19"/>
                <w:szCs w:val="19"/>
              </w:rPr>
              <w:t> </w:t>
            </w:r>
          </w:p>
        </w:tc>
        <w:tc>
          <w:tcPr>
            <w:tcW w:w="5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B35187">
            <w:pPr>
              <w:pStyle w:val="3"/>
              <w:keepNext w:val="0"/>
              <w:keepLines w:val="0"/>
              <w:widowControl/>
              <w:suppressLineNumbers w:val="0"/>
              <w:spacing w:before="0" w:beforeAutospacing="0" w:after="0" w:afterAutospacing="0" w:line="21" w:lineRule="atLeast"/>
              <w:jc w:val="center"/>
            </w:pPr>
            <w:r>
              <w:rPr>
                <w:rFonts w:hint="default" w:ascii="Times New Roman" w:hAnsi="Times New Roman" w:eastAsia="微软雅黑" w:cs="Times New Roman"/>
                <w:color w:val="333333"/>
                <w:sz w:val="19"/>
                <w:szCs w:val="19"/>
              </w:rPr>
              <w:t> </w:t>
            </w:r>
            <w:r>
              <w:rPr>
                <w:rFonts w:hint="eastAsia" w:ascii="宋体" w:hAnsi="宋体" w:eastAsia="宋体" w:cs="宋体"/>
                <w:color w:val="333333"/>
                <w:sz w:val="19"/>
                <w:szCs w:val="19"/>
              </w:rPr>
              <w:t>0</w:t>
            </w:r>
          </w:p>
        </w:tc>
        <w:tc>
          <w:tcPr>
            <w:tcW w:w="5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A32806">
            <w:pPr>
              <w:pStyle w:val="3"/>
              <w:keepNext w:val="0"/>
              <w:keepLines w:val="0"/>
              <w:widowControl/>
              <w:suppressLineNumbers w:val="0"/>
              <w:spacing w:before="0" w:beforeAutospacing="0" w:after="0" w:afterAutospacing="0" w:line="21" w:lineRule="atLeast"/>
              <w:jc w:val="center"/>
            </w:pPr>
            <w:r>
              <w:rPr>
                <w:rFonts w:hint="default" w:ascii="Times New Roman" w:hAnsi="Times New Roman" w:eastAsia="微软雅黑" w:cs="Times New Roman"/>
                <w:color w:val="333333"/>
                <w:sz w:val="19"/>
                <w:szCs w:val="19"/>
              </w:rPr>
              <w:t> </w:t>
            </w:r>
            <w:r>
              <w:rPr>
                <w:rFonts w:hint="eastAsia" w:ascii="宋体" w:hAnsi="宋体" w:eastAsia="宋体" w:cs="宋体"/>
                <w:color w:val="333333"/>
                <w:sz w:val="19"/>
                <w:szCs w:val="19"/>
              </w:rPr>
              <w:t>0</w:t>
            </w:r>
          </w:p>
        </w:tc>
        <w:tc>
          <w:tcPr>
            <w:tcW w:w="5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3A68ED">
            <w:pPr>
              <w:pStyle w:val="3"/>
              <w:keepNext w:val="0"/>
              <w:keepLines w:val="0"/>
              <w:widowControl/>
              <w:suppressLineNumbers w:val="0"/>
              <w:spacing w:before="0" w:beforeAutospacing="0" w:after="0" w:afterAutospacing="0" w:line="21" w:lineRule="atLeast"/>
              <w:jc w:val="center"/>
            </w:pPr>
            <w:r>
              <w:rPr>
                <w:rFonts w:hint="default" w:ascii="Times New Roman" w:hAnsi="Times New Roman" w:eastAsia="微软雅黑" w:cs="Times New Roman"/>
                <w:color w:val="333333"/>
                <w:sz w:val="19"/>
                <w:szCs w:val="19"/>
              </w:rPr>
              <w:t> </w:t>
            </w:r>
            <w:r>
              <w:rPr>
                <w:rFonts w:hint="eastAsia" w:ascii="宋体" w:hAnsi="宋体" w:eastAsia="宋体" w:cs="宋体"/>
                <w:color w:val="333333"/>
                <w:sz w:val="19"/>
                <w:szCs w:val="19"/>
              </w:rPr>
              <w:t>0</w:t>
            </w:r>
          </w:p>
        </w:tc>
        <w:tc>
          <w:tcPr>
            <w:tcW w:w="4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044CBA">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0 </w:t>
            </w:r>
          </w:p>
        </w:tc>
        <w:tc>
          <w:tcPr>
            <w:tcW w:w="5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626CEE">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0 </w:t>
            </w:r>
          </w:p>
        </w:tc>
        <w:tc>
          <w:tcPr>
            <w:tcW w:w="5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8A5EEB">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0 </w:t>
            </w:r>
          </w:p>
        </w:tc>
        <w:tc>
          <w:tcPr>
            <w:tcW w:w="5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00FA48A">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0 </w:t>
            </w:r>
          </w:p>
        </w:tc>
        <w:tc>
          <w:tcPr>
            <w:tcW w:w="5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AD311C">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0 </w:t>
            </w:r>
          </w:p>
        </w:tc>
        <w:tc>
          <w:tcPr>
            <w:tcW w:w="5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DF115E5">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 0</w:t>
            </w:r>
          </w:p>
        </w:tc>
        <w:tc>
          <w:tcPr>
            <w:tcW w:w="5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D8682F">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 0</w:t>
            </w:r>
          </w:p>
        </w:tc>
        <w:tc>
          <w:tcPr>
            <w:tcW w:w="5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330FBB">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0 </w:t>
            </w:r>
          </w:p>
        </w:tc>
        <w:tc>
          <w:tcPr>
            <w:tcW w:w="5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3E965DE">
            <w:pPr>
              <w:pStyle w:val="3"/>
              <w:keepNext w:val="0"/>
              <w:keepLines w:val="0"/>
              <w:widowControl/>
              <w:suppressLineNumbers w:val="0"/>
              <w:spacing w:before="0" w:beforeAutospacing="0" w:after="0" w:afterAutospacing="0" w:line="21" w:lineRule="atLeast"/>
              <w:jc w:val="center"/>
            </w:pPr>
            <w:r>
              <w:rPr>
                <w:rFonts w:hint="eastAsia" w:ascii="宋体" w:hAnsi="宋体" w:eastAsia="宋体" w:cs="宋体"/>
                <w:color w:val="333333"/>
                <w:sz w:val="19"/>
                <w:szCs w:val="19"/>
              </w:rPr>
              <w:t>0 </w:t>
            </w:r>
          </w:p>
        </w:tc>
        <w:tc>
          <w:tcPr>
            <w:tcW w:w="5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0CBCB1">
            <w:pPr>
              <w:pStyle w:val="3"/>
              <w:keepNext w:val="0"/>
              <w:keepLines w:val="0"/>
              <w:widowControl/>
              <w:suppressLineNumbers w:val="0"/>
              <w:spacing w:before="0" w:beforeAutospacing="0" w:after="0" w:afterAutospacing="0" w:line="21" w:lineRule="atLeast"/>
            </w:pPr>
            <w:r>
              <w:rPr>
                <w:rFonts w:hint="eastAsia" w:ascii="宋体" w:hAnsi="宋体" w:eastAsia="宋体" w:cs="宋体"/>
                <w:color w:val="333333"/>
                <w:sz w:val="24"/>
                <w:szCs w:val="24"/>
              </w:rPr>
              <w:t>0</w:t>
            </w:r>
          </w:p>
        </w:tc>
      </w:tr>
    </w:tbl>
    <w:p w14:paraId="51987755">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五、存在的问题及改进措施</w:t>
      </w:r>
    </w:p>
    <w:p w14:paraId="458F28F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局政务公开工作结合财政工作特色取得了一定的成效，但与上级要求和群众期望还稍有差距。仍存在以下问题：一是政务公开专职人员业务水平、工作能力有待进一步加强。二是对主动公开的信息内容的理解和把握不够，对各项政策的理解不能灵活运用，发布的政务信息质量还不高。</w:t>
      </w:r>
    </w:p>
    <w:p w14:paraId="2795DDF4">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六、其他需要报告事项</w:t>
      </w:r>
    </w:p>
    <w:p w14:paraId="3AB256A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（一）依据《政府公开信息处理费管理办法》相关要求，2022年我局公开相关信息均不涉及收费问题。</w:t>
      </w:r>
    </w:p>
    <w:p w14:paraId="06A83AE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格落实《国务院办公厅关于印发2023年政务公开工作要点的通知》，依据《鄂尔多斯市2023年政务公开工作要点》，系统规划2023年各类信息的公开，深化财政信息公开，建立政务公开工作台账，实时跟进办理情况，定期督办，逐条落实信息公开任务。接下来，我局将把做好政务公开工作作为全面促进财政工作更好开展的重要保障和有力抓手，顺应形势发展要求，保持成绩，弥补不足，进一步加强政务公开的及时性、规范性、完整性，不断提升政务公开工作水平和质量，促进政务公开工作迈上新台阶。</w:t>
      </w:r>
    </w:p>
    <w:p w14:paraId="63B72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1F61BA"/>
          <w:kern w:val="0"/>
          <w:sz w:val="32"/>
          <w:szCs w:val="32"/>
          <w:lang w:val="en-US" w:eastAsia="zh-CN" w:bidi="ar"/>
        </w:rPr>
      </w:pPr>
    </w:p>
    <w:p w14:paraId="7CD770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OTUyOWNmMWNhMjQxNmRhNzhmYmU2ZTM3Yzg2YTIifQ=="/>
  </w:docVars>
  <w:rsids>
    <w:rsidRoot w:val="00000000"/>
    <w:rsid w:val="151075EC"/>
    <w:rsid w:val="24126162"/>
    <w:rsid w:val="4A4628E8"/>
    <w:rsid w:val="6EEF561B"/>
    <w:rsid w:val="6FFF51FB"/>
    <w:rsid w:val="C9FEE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10"/>
      <w:jc w:val="left"/>
    </w:pPr>
    <w:rPr>
      <w:smallCaps/>
      <w:sz w:val="20"/>
      <w:szCs w:val="20"/>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rFonts w:hint="eastAsia" w:ascii="微软雅黑" w:hAnsi="微软雅黑" w:eastAsia="微软雅黑" w:cs="微软雅黑"/>
      <w:color w:val="000000"/>
      <w:u w:val="none"/>
    </w:rPr>
  </w:style>
  <w:style w:type="character" w:styleId="8">
    <w:name w:val="Emphasis"/>
    <w:basedOn w:val="5"/>
    <w:qFormat/>
    <w:uiPriority w:val="0"/>
  </w:style>
  <w:style w:type="character" w:styleId="9">
    <w:name w:val="HTML Definition"/>
    <w:basedOn w:val="5"/>
    <w:qFormat/>
    <w:uiPriority w:val="0"/>
    <w:rPr>
      <w:i/>
      <w:iCs/>
    </w:rPr>
  </w:style>
  <w:style w:type="character" w:styleId="10">
    <w:name w:val="Hyperlink"/>
    <w:basedOn w:val="5"/>
    <w:qFormat/>
    <w:uiPriority w:val="0"/>
    <w:rPr>
      <w:rFonts w:ascii="微软雅黑" w:hAnsi="微软雅黑" w:eastAsia="微软雅黑" w:cs="微软雅黑"/>
      <w:color w:val="000000"/>
      <w:u w:val="none"/>
    </w:rPr>
  </w:style>
  <w:style w:type="character" w:styleId="11">
    <w:name w:val="HTML Code"/>
    <w:basedOn w:val="5"/>
    <w:qFormat/>
    <w:uiPriority w:val="0"/>
    <w:rPr>
      <w:rFonts w:hint="default" w:ascii="Consolas" w:hAnsi="Consolas" w:eastAsia="Consolas" w:cs="Consolas"/>
      <w:color w:val="C7254E"/>
      <w:sz w:val="21"/>
      <w:szCs w:val="21"/>
      <w:shd w:val="clear" w:fill="F9F2F4"/>
    </w:rPr>
  </w:style>
  <w:style w:type="character" w:styleId="12">
    <w:name w:val="HTML Keyboard"/>
    <w:basedOn w:val="5"/>
    <w:qFormat/>
    <w:uiPriority w:val="0"/>
    <w:rPr>
      <w:rFonts w:hint="default" w:ascii="Consolas" w:hAnsi="Consolas" w:eastAsia="Consolas" w:cs="Consolas"/>
      <w:color w:val="FFFFFF"/>
      <w:sz w:val="21"/>
      <w:szCs w:val="21"/>
      <w:shd w:val="clear" w:fill="333333"/>
    </w:rPr>
  </w:style>
  <w:style w:type="character" w:styleId="13">
    <w:name w:val="HTML Sample"/>
    <w:basedOn w:val="5"/>
    <w:qFormat/>
    <w:uiPriority w:val="0"/>
    <w:rPr>
      <w:rFonts w:ascii="Consolas" w:hAnsi="Consolas" w:eastAsia="Consolas" w:cs="Consolas"/>
      <w:sz w:val="21"/>
      <w:szCs w:val="21"/>
    </w:rPr>
  </w:style>
  <w:style w:type="character" w:customStyle="1" w:styleId="14">
    <w:name w:val="hover29"/>
    <w:basedOn w:val="5"/>
    <w:qFormat/>
    <w:uiPriority w:val="0"/>
  </w:style>
  <w:style w:type="character" w:customStyle="1" w:styleId="15">
    <w:name w:val="hover3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2707</Words>
  <Characters>2803</Characters>
  <Lines>0</Lines>
  <Paragraphs>0</Paragraphs>
  <TotalTime>6</TotalTime>
  <ScaleCrop>false</ScaleCrop>
  <LinksUpToDate>false</LinksUpToDate>
  <CharactersWithSpaces>3003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2024-07-18T23:15:00Z</dcterms:created>
  <dc:creator>90570</dc:creator>
  <cp:lastModifiedBy>  </cp:lastModifiedBy>
  <dcterms:modified xsi:type="dcterms:W3CDTF">2024-07-19T01:52:57Z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B4B03F11C10040D7A7CECEFC5F073325_13</vt:lpwstr>
  </property>
</Properties>
</file>